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6D098E" w14:paraId="12DFE1C9" w14:textId="77777777">
        <w:tc>
          <w:tcPr>
            <w:tcW w:w="4428" w:type="dxa"/>
          </w:tcPr>
          <w:p w14:paraId="1104F56C" w14:textId="77777777" w:rsidR="006D098E" w:rsidRDefault="00D97A14">
            <w:pPr>
              <w:widowControl w:val="0"/>
              <w:rPr>
                <w:rFonts w:asciiTheme="minorHAnsi" w:hAnsiTheme="minorHAnsi" w:cstheme="minorHAnsi"/>
                <w:lang w:eastAsia="ko-KR"/>
              </w:rPr>
            </w:pPr>
            <w:r>
              <w:rPr>
                <w:rFonts w:asciiTheme="minorHAnsi" w:hAnsiTheme="minorHAnsi" w:cstheme="minorHAnsi"/>
              </w:rPr>
              <w:t>From:</w:t>
            </w:r>
            <w:r>
              <w:rPr>
                <w:rFonts w:asciiTheme="minorHAnsi" w:hAnsiTheme="minorHAnsi" w:cstheme="minorHAnsi"/>
              </w:rPr>
              <w:tab/>
            </w:r>
            <w:r>
              <w:rPr>
                <w:rFonts w:asciiTheme="minorHAnsi" w:hAnsiTheme="minorHAnsi" w:cstheme="minorHAnsi"/>
                <w:lang w:eastAsia="ko-KR"/>
              </w:rPr>
              <w:t>DTEC</w:t>
            </w:r>
          </w:p>
        </w:tc>
        <w:tc>
          <w:tcPr>
            <w:tcW w:w="5461" w:type="dxa"/>
          </w:tcPr>
          <w:p w14:paraId="0647FDCA" w14:textId="08EDD7B3" w:rsidR="006D098E" w:rsidRDefault="007558BE">
            <w:pPr>
              <w:widowControl w:val="0"/>
              <w:jc w:val="right"/>
              <w:rPr>
                <w:rFonts w:asciiTheme="minorHAnsi" w:hAnsiTheme="minorHAnsi" w:cstheme="minorHAnsi"/>
                <w:highlight w:val="yellow"/>
                <w:lang w:eastAsia="ko-KR"/>
              </w:rPr>
            </w:pPr>
            <w:r>
              <w:rPr>
                <w:rFonts w:asciiTheme="minorHAnsi" w:hAnsiTheme="minorHAnsi" w:cstheme="minorHAnsi"/>
                <w:lang w:eastAsia="ko-KR"/>
              </w:rPr>
              <w:t>ENG21-3.1.2.9</w:t>
            </w:r>
          </w:p>
        </w:tc>
      </w:tr>
      <w:tr w:rsidR="006D098E" w14:paraId="120834B3" w14:textId="77777777">
        <w:tc>
          <w:tcPr>
            <w:tcW w:w="4428" w:type="dxa"/>
          </w:tcPr>
          <w:p w14:paraId="31E5A6B9" w14:textId="77777777" w:rsidR="006D098E" w:rsidRDefault="00D97A14">
            <w:pPr>
              <w:widowControl w:val="0"/>
              <w:rPr>
                <w:rFonts w:asciiTheme="minorHAnsi" w:hAnsiTheme="minorHAnsi" w:cstheme="minorHAnsi"/>
                <w:lang w:eastAsia="ko-KR"/>
              </w:rPr>
            </w:pPr>
            <w:r>
              <w:rPr>
                <w:rFonts w:asciiTheme="minorHAnsi" w:hAnsiTheme="minorHAnsi" w:cstheme="minorHAnsi"/>
              </w:rPr>
              <w:t>To:</w:t>
            </w:r>
            <w:r>
              <w:rPr>
                <w:rFonts w:asciiTheme="minorHAnsi" w:hAnsiTheme="minorHAnsi" w:cstheme="minorHAnsi"/>
              </w:rPr>
              <w:tab/>
            </w:r>
            <w:r>
              <w:rPr>
                <w:rFonts w:asciiTheme="minorHAnsi" w:hAnsiTheme="minorHAnsi" w:cstheme="minorHAnsi"/>
                <w:lang w:eastAsia="ko-KR"/>
              </w:rPr>
              <w:t>ARM, VTS, ENG</w:t>
            </w:r>
          </w:p>
        </w:tc>
        <w:tc>
          <w:tcPr>
            <w:tcW w:w="5461" w:type="dxa"/>
            <w:shd w:val="clear" w:color="auto" w:fill="FFFFFF" w:themeFill="background1"/>
          </w:tcPr>
          <w:p w14:paraId="5239E4B7" w14:textId="77777777" w:rsidR="006D098E" w:rsidRDefault="006D098E">
            <w:pPr>
              <w:widowControl w:val="0"/>
              <w:jc w:val="right"/>
              <w:rPr>
                <w:rFonts w:asciiTheme="minorHAnsi" w:hAnsiTheme="minorHAnsi" w:cstheme="minorHAnsi"/>
                <w:lang w:eastAsia="ko-KR"/>
              </w:rPr>
            </w:pPr>
          </w:p>
        </w:tc>
      </w:tr>
    </w:tbl>
    <w:p w14:paraId="5FDA5FF0" w14:textId="77777777" w:rsidR="006D098E" w:rsidRDefault="006D098E">
      <w:pPr>
        <w:pStyle w:val="BodyText"/>
        <w:tabs>
          <w:tab w:val="left" w:pos="2835"/>
        </w:tabs>
        <w:rPr>
          <w:rFonts w:ascii="Calibri" w:hAnsi="Calibri"/>
        </w:rPr>
      </w:pPr>
    </w:p>
    <w:p w14:paraId="579F5AC5" w14:textId="77777777" w:rsidR="006D098E" w:rsidRDefault="006D098E">
      <w:pPr>
        <w:pStyle w:val="BodyText"/>
        <w:tabs>
          <w:tab w:val="left" w:pos="2835"/>
        </w:tabs>
        <w:rPr>
          <w:rFonts w:ascii="Calibri" w:hAnsi="Calibri"/>
          <w:color w:val="365F91" w:themeColor="accent1" w:themeShade="BF"/>
        </w:rPr>
      </w:pPr>
    </w:p>
    <w:p w14:paraId="176A1694" w14:textId="77777777" w:rsidR="006D098E" w:rsidRDefault="00D97A14">
      <w:pPr>
        <w:pStyle w:val="Title"/>
        <w:rPr>
          <w:color w:val="548DD4" w:themeColor="text2" w:themeTint="99"/>
        </w:rPr>
      </w:pPr>
      <w:r>
        <w:rPr>
          <w:color w:val="548DD4" w:themeColor="text2" w:themeTint="99"/>
        </w:rPr>
        <w:t>LIAISON NOTE</w:t>
      </w:r>
    </w:p>
    <w:p w14:paraId="5BF0EB87" w14:textId="77777777" w:rsidR="006D098E" w:rsidRDefault="00D97A14">
      <w:pPr>
        <w:pStyle w:val="Title"/>
        <w:rPr>
          <w:rFonts w:eastAsia="MS Mincho"/>
          <w:color w:val="548DD4" w:themeColor="text2" w:themeTint="99"/>
          <w:lang w:val="en-SG" w:eastAsia="ja-JP"/>
        </w:rPr>
      </w:pPr>
      <w:r>
        <w:rPr>
          <w:rFonts w:eastAsia="MS Mincho"/>
          <w:color w:val="548DD4" w:themeColor="text2" w:themeTint="99"/>
          <w:lang w:val="en-SG" w:eastAsia="ja-JP"/>
        </w:rPr>
        <w:t>Proposal on IALA to establish operational MCP</w:t>
      </w:r>
    </w:p>
    <w:p w14:paraId="448889FC" w14:textId="77777777" w:rsidR="006D098E" w:rsidRDefault="00D97A14">
      <w:pPr>
        <w:pStyle w:val="Title"/>
        <w:rPr>
          <w:rFonts w:ascii="Calibri" w:hAnsi="Calibri"/>
          <w:color w:val="0070C0"/>
        </w:rPr>
      </w:pPr>
      <w:r>
        <w:rPr>
          <w:rFonts w:ascii="Calibri" w:hAnsi="Calibri"/>
          <w:color w:val="0070C0"/>
        </w:rPr>
        <w:t xml:space="preserve">  </w:t>
      </w:r>
    </w:p>
    <w:p w14:paraId="4522709F" w14:textId="77777777" w:rsidR="006D098E" w:rsidRDefault="00D97A14">
      <w:pPr>
        <w:pStyle w:val="Heading1"/>
      </w:pPr>
      <w:r>
        <w:t>introduction</w:t>
      </w:r>
    </w:p>
    <w:p w14:paraId="55476910" w14:textId="77777777" w:rsidR="006D098E" w:rsidRDefault="00D97A14">
      <w:pPr>
        <w:pStyle w:val="BodyText"/>
        <w:rPr>
          <w:rFonts w:asciiTheme="minorHAnsi" w:hAnsiTheme="minorHAnsi" w:cstheme="minorHAnsi"/>
        </w:rPr>
      </w:pPr>
      <w:r>
        <w:rPr>
          <w:rFonts w:ascii="Calibri" w:hAnsi="Calibri" w:cstheme="minorHAnsi"/>
        </w:rPr>
        <w:t>DTEC has been discussing the possibility of IALA establishing an operational MCP instance, and is proposing that IALA undertakes further steps in order to evaluate this. It is the vision that such an instance initially would comprise of the MIR (Maritime Identity Registry) and MSR (Maritime Service Registry) - with the possibility to include the MMS (Maritime Messaging Service) at a later stage.</w:t>
      </w:r>
    </w:p>
    <w:p w14:paraId="2F967AD5" w14:textId="77777777" w:rsidR="006D098E" w:rsidRDefault="006D098E">
      <w:pPr>
        <w:pStyle w:val="BodyText"/>
        <w:rPr>
          <w:rFonts w:asciiTheme="minorHAnsi" w:hAnsiTheme="minorHAnsi" w:cstheme="minorHAnsi"/>
        </w:rPr>
      </w:pPr>
    </w:p>
    <w:p w14:paraId="3AF3060F" w14:textId="77777777" w:rsidR="006D098E" w:rsidRDefault="00D97A14">
      <w:pPr>
        <w:pStyle w:val="Heading1"/>
      </w:pPr>
      <w:r>
        <w:t xml:space="preserve">Discussions </w:t>
      </w:r>
    </w:p>
    <w:p w14:paraId="055517D6" w14:textId="77777777" w:rsidR="00FE1965" w:rsidRDefault="00D97A14">
      <w:pPr>
        <w:pStyle w:val="BodyText"/>
        <w:rPr>
          <w:rFonts w:ascii="Calibri" w:hAnsi="Calibri" w:cstheme="minorHAnsi"/>
        </w:rPr>
      </w:pPr>
      <w:r>
        <w:rPr>
          <w:rFonts w:ascii="Calibri" w:hAnsi="Calibri" w:cstheme="minorHAnsi"/>
        </w:rPr>
        <w:t>Since such MCP instance would support the operation of technical services operated by IALA members - which are being specified in other IALA committees - this proposal is equally relevant for other committees - hence this liaison note</w:t>
      </w:r>
      <w:r w:rsidR="00FE1965">
        <w:rPr>
          <w:rFonts w:ascii="Calibri" w:hAnsi="Calibri" w:cstheme="minorHAnsi"/>
        </w:rPr>
        <w:t>.</w:t>
      </w:r>
    </w:p>
    <w:p w14:paraId="183C4EA2" w14:textId="3EC116A0" w:rsidR="006D098E" w:rsidRPr="00FE1965" w:rsidRDefault="00FE1965">
      <w:pPr>
        <w:pStyle w:val="BodyText"/>
        <w:rPr>
          <w:rFonts w:ascii="Calibri" w:hAnsi="Calibri" w:cstheme="minorHAnsi"/>
        </w:rPr>
      </w:pPr>
      <w:r>
        <w:rPr>
          <w:rFonts w:ascii="Calibri" w:hAnsi="Calibri" w:cstheme="minorHAnsi"/>
        </w:rPr>
        <w:t>The following should be noted:</w:t>
      </w:r>
      <w:r w:rsidRPr="00FE1965">
        <w:rPr>
          <w:rFonts w:ascii="Calibri" w:hAnsi="Calibri" w:cstheme="minorHAnsi"/>
        </w:rPr>
        <w:t xml:space="preserve"> </w:t>
      </w:r>
    </w:p>
    <w:p w14:paraId="36F4B143" w14:textId="317298BF" w:rsidR="006D098E" w:rsidRDefault="00FE1965" w:rsidP="00FE1965">
      <w:pPr>
        <w:pStyle w:val="BodyText"/>
        <w:numPr>
          <w:ilvl w:val="0"/>
          <w:numId w:val="24"/>
        </w:numPr>
        <w:rPr>
          <w:rFonts w:asciiTheme="minorHAnsi" w:hAnsiTheme="minorHAnsi" w:cstheme="minorHAnsi"/>
        </w:rPr>
      </w:pPr>
      <w:r>
        <w:rPr>
          <w:rFonts w:ascii="Calibri" w:hAnsi="Calibri" w:cstheme="minorHAnsi"/>
        </w:rPr>
        <w:t>The IALA MCP instance can be used to facilitate the operation of technical services for the maritime services by IALA Members in the context of AtoNs and VTS.</w:t>
      </w:r>
    </w:p>
    <w:p w14:paraId="644123EA" w14:textId="0F0707C5" w:rsidR="006D098E" w:rsidRDefault="00FE1965">
      <w:pPr>
        <w:pStyle w:val="BodyText"/>
        <w:numPr>
          <w:ilvl w:val="0"/>
          <w:numId w:val="22"/>
        </w:numPr>
        <w:rPr>
          <w:rFonts w:asciiTheme="minorHAnsi" w:hAnsiTheme="minorHAnsi" w:cstheme="minorHAnsi"/>
        </w:rPr>
      </w:pPr>
      <w:r>
        <w:rPr>
          <w:rFonts w:ascii="Calibri" w:hAnsi="Calibri" w:cstheme="minorHAnsi"/>
        </w:rPr>
        <w:t>It supports users to make use of the technical services for the maritime services.</w:t>
      </w:r>
    </w:p>
    <w:p w14:paraId="320BBA46" w14:textId="77777777" w:rsidR="006D098E" w:rsidRDefault="00D97A14">
      <w:pPr>
        <w:pStyle w:val="BodyText"/>
        <w:numPr>
          <w:ilvl w:val="0"/>
          <w:numId w:val="22"/>
        </w:numPr>
        <w:rPr>
          <w:rFonts w:asciiTheme="minorHAnsi" w:hAnsiTheme="minorHAnsi" w:cstheme="minorHAnsi"/>
        </w:rPr>
      </w:pPr>
      <w:r>
        <w:rPr>
          <w:rFonts w:ascii="Calibri" w:hAnsi="Calibri" w:cstheme="minorHAnsi"/>
        </w:rPr>
        <w:t xml:space="preserve">It will be an incubator for implementing technical services and can provide experiences and support for members </w:t>
      </w:r>
    </w:p>
    <w:p w14:paraId="06F5E959" w14:textId="33A3F132" w:rsidR="006D098E" w:rsidRDefault="00D97A14">
      <w:pPr>
        <w:pStyle w:val="BodyText"/>
        <w:numPr>
          <w:ilvl w:val="0"/>
          <w:numId w:val="22"/>
        </w:numPr>
        <w:rPr>
          <w:rFonts w:asciiTheme="minorHAnsi" w:hAnsiTheme="minorHAnsi" w:cstheme="minorHAnsi"/>
        </w:rPr>
      </w:pPr>
      <w:r>
        <w:rPr>
          <w:rFonts w:ascii="Calibri" w:hAnsi="Calibri" w:cstheme="minorHAnsi"/>
        </w:rPr>
        <w:t xml:space="preserve">MIR is </w:t>
      </w:r>
      <w:r w:rsidR="00FE1965">
        <w:rPr>
          <w:rFonts w:ascii="Calibri" w:hAnsi="Calibri" w:cstheme="minorHAnsi"/>
        </w:rPr>
        <w:t xml:space="preserve">a </w:t>
      </w:r>
      <w:r>
        <w:rPr>
          <w:rFonts w:ascii="Calibri" w:hAnsi="Calibri" w:cstheme="minorHAnsi"/>
        </w:rPr>
        <w:t xml:space="preserve">Public Key </w:t>
      </w:r>
      <w:r w:rsidR="00FE1965">
        <w:rPr>
          <w:rFonts w:ascii="Calibri" w:hAnsi="Calibri" w:cstheme="minorHAnsi"/>
        </w:rPr>
        <w:t>Infrastructure</w:t>
      </w:r>
      <w:r>
        <w:rPr>
          <w:rFonts w:ascii="Calibri" w:hAnsi="Calibri" w:cstheme="minorHAnsi"/>
        </w:rPr>
        <w:t xml:space="preserve"> </w:t>
      </w:r>
      <w:r w:rsidR="00FE1965">
        <w:rPr>
          <w:rFonts w:ascii="Calibri" w:hAnsi="Calibri" w:cstheme="minorHAnsi"/>
        </w:rPr>
        <w:t>(PKI) i</w:t>
      </w:r>
      <w:r>
        <w:rPr>
          <w:rFonts w:ascii="Calibri" w:hAnsi="Calibri" w:cstheme="minorHAnsi"/>
        </w:rPr>
        <w:t xml:space="preserve">mplementation and can serve as VDES Public Key </w:t>
      </w:r>
      <w:r w:rsidR="00FE1965">
        <w:rPr>
          <w:rFonts w:ascii="Calibri" w:hAnsi="Calibri" w:cstheme="minorHAnsi"/>
        </w:rPr>
        <w:t>Infrastructure</w:t>
      </w:r>
      <w:r>
        <w:rPr>
          <w:rFonts w:ascii="Calibri" w:hAnsi="Calibri" w:cstheme="minorHAnsi"/>
        </w:rPr>
        <w:t xml:space="preserve">. </w:t>
      </w:r>
    </w:p>
    <w:p w14:paraId="2305AD9C" w14:textId="77777777" w:rsidR="006D098E" w:rsidRDefault="00D97A14">
      <w:pPr>
        <w:pStyle w:val="BodyText"/>
        <w:numPr>
          <w:ilvl w:val="0"/>
          <w:numId w:val="22"/>
        </w:numPr>
        <w:rPr>
          <w:rFonts w:asciiTheme="minorHAnsi" w:hAnsiTheme="minorHAnsi" w:cstheme="minorHAnsi"/>
        </w:rPr>
      </w:pPr>
      <w:r>
        <w:rPr>
          <w:rFonts w:ascii="Calibri" w:hAnsi="Calibri" w:cstheme="minorHAnsi"/>
        </w:rPr>
        <w:t xml:space="preserve">The MIR and MSR can be used for operating of MMS by other service providers.  </w:t>
      </w:r>
    </w:p>
    <w:p w14:paraId="2BE20EF1" w14:textId="77777777" w:rsidR="006D098E" w:rsidRDefault="00D97A14">
      <w:pPr>
        <w:pStyle w:val="BodyText"/>
        <w:numPr>
          <w:ilvl w:val="0"/>
          <w:numId w:val="22"/>
        </w:numPr>
        <w:rPr>
          <w:rFonts w:asciiTheme="minorHAnsi" w:hAnsiTheme="minorHAnsi" w:cstheme="minorHAnsi"/>
        </w:rPr>
      </w:pPr>
      <w:r>
        <w:rPr>
          <w:rFonts w:ascii="Calibri" w:hAnsi="Calibri" w:cstheme="minorHAnsi"/>
        </w:rPr>
        <w:t>IALA will be a trusted body to prove a list of official member states services.</w:t>
      </w:r>
    </w:p>
    <w:p w14:paraId="1A640227" w14:textId="77777777" w:rsidR="006D098E" w:rsidRDefault="00D97A14">
      <w:pPr>
        <w:pStyle w:val="BodyText"/>
        <w:numPr>
          <w:ilvl w:val="0"/>
          <w:numId w:val="22"/>
        </w:numPr>
        <w:rPr>
          <w:rFonts w:asciiTheme="minorHAnsi" w:hAnsiTheme="minorHAnsi" w:cstheme="minorHAnsi"/>
        </w:rPr>
      </w:pPr>
      <w:r>
        <w:rPr>
          <w:rFonts w:ascii="Calibri" w:hAnsi="Calibri" w:cstheme="minorHAnsi"/>
        </w:rPr>
        <w:t xml:space="preserve">IALA can make sure that the services registered in the Registries passed the compliance tests. </w:t>
      </w:r>
    </w:p>
    <w:p w14:paraId="09B35A67" w14:textId="77777777" w:rsidR="006D098E" w:rsidRDefault="00D97A14">
      <w:pPr>
        <w:pStyle w:val="BodyText"/>
        <w:numPr>
          <w:ilvl w:val="0"/>
          <w:numId w:val="22"/>
        </w:numPr>
        <w:rPr>
          <w:rFonts w:asciiTheme="minorHAnsi" w:hAnsiTheme="minorHAnsi" w:cstheme="minorHAnsi"/>
        </w:rPr>
      </w:pPr>
      <w:r>
        <w:rPr>
          <w:rFonts w:ascii="Calibri" w:hAnsi="Calibri" w:cstheme="minorHAnsi"/>
          <w:lang w:val="en-US"/>
        </w:rPr>
        <w:t>IALA MIR will include a Root CA and intermediate CA.</w:t>
      </w:r>
    </w:p>
    <w:p w14:paraId="409FD8CA" w14:textId="2B91A458" w:rsidR="006D098E" w:rsidRDefault="00D97A14">
      <w:pPr>
        <w:pStyle w:val="BodyText"/>
        <w:rPr>
          <w:rFonts w:ascii="Calibri" w:hAnsi="Calibri"/>
          <w:lang w:val="en-SG"/>
        </w:rPr>
      </w:pPr>
      <w:r>
        <w:rPr>
          <w:rFonts w:ascii="Calibri" w:hAnsi="Calibri"/>
          <w:lang w:val="en-SG"/>
        </w:rPr>
        <w:t>The proposal of an operational IALA MCP is further elaborated on in a</w:t>
      </w:r>
      <w:r w:rsidR="00FE1965">
        <w:rPr>
          <w:rFonts w:ascii="Calibri" w:hAnsi="Calibri"/>
          <w:lang w:val="en-SG"/>
        </w:rPr>
        <w:t>n</w:t>
      </w:r>
      <w:r>
        <w:rPr>
          <w:rFonts w:ascii="Calibri" w:hAnsi="Calibri"/>
          <w:lang w:val="en-SG"/>
        </w:rPr>
        <w:t xml:space="preserve"> input document from DTEC5 - which is inc</w:t>
      </w:r>
      <w:r w:rsidR="00FE1965">
        <w:rPr>
          <w:rFonts w:ascii="Calibri" w:hAnsi="Calibri"/>
          <w:lang w:val="en-SG"/>
        </w:rPr>
        <w:t>l</w:t>
      </w:r>
      <w:r>
        <w:rPr>
          <w:rFonts w:ascii="Calibri" w:hAnsi="Calibri"/>
          <w:lang w:val="en-SG"/>
        </w:rPr>
        <w:t>uded here as an annex.</w:t>
      </w:r>
    </w:p>
    <w:p w14:paraId="4F4CA023" w14:textId="29851BC1" w:rsidR="006D098E" w:rsidRDefault="00D97A14">
      <w:pPr>
        <w:pStyle w:val="BodyText"/>
        <w:rPr>
          <w:rFonts w:ascii="Calibri" w:hAnsi="Calibri"/>
          <w:lang w:val="en-SG"/>
        </w:rPr>
      </w:pPr>
      <w:r>
        <w:rPr>
          <w:rFonts w:ascii="Calibri" w:hAnsi="Calibri"/>
          <w:lang w:val="en-SG"/>
        </w:rPr>
        <w:t xml:space="preserve">As a next step, DTEC is </w:t>
      </w:r>
      <w:r w:rsidR="00FE1965">
        <w:rPr>
          <w:rFonts w:ascii="Calibri" w:hAnsi="Calibri"/>
          <w:lang w:val="en-SG"/>
        </w:rPr>
        <w:t>proposing</w:t>
      </w:r>
      <w:r w:rsidR="00EA0F24">
        <w:rPr>
          <w:rFonts w:ascii="Calibri" w:hAnsi="Calibri"/>
          <w:lang w:val="en-SG"/>
        </w:rPr>
        <w:t xml:space="preserve"> </w:t>
      </w:r>
      <w:r>
        <w:rPr>
          <w:rFonts w:ascii="Calibri" w:hAnsi="Calibri"/>
          <w:lang w:val="en-SG"/>
        </w:rPr>
        <w:t>that IALA carries ou</w:t>
      </w:r>
      <w:r w:rsidR="00EA0F24">
        <w:rPr>
          <w:rFonts w:ascii="Calibri" w:hAnsi="Calibri"/>
          <w:lang w:val="en-SG"/>
        </w:rPr>
        <w:t>t</w:t>
      </w:r>
      <w:r>
        <w:rPr>
          <w:rFonts w:ascii="Calibri" w:hAnsi="Calibri"/>
          <w:lang w:val="en-SG"/>
        </w:rPr>
        <w:t xml:space="preserve"> a feasibility study - that would investigate various aspects of the proposal, including</w:t>
      </w:r>
    </w:p>
    <w:p w14:paraId="49A847FD" w14:textId="77777777" w:rsidR="006D098E" w:rsidRDefault="00D97A14">
      <w:pPr>
        <w:pStyle w:val="BodyText"/>
        <w:numPr>
          <w:ilvl w:val="0"/>
          <w:numId w:val="23"/>
        </w:numPr>
        <w:rPr>
          <w:rFonts w:ascii="Calibri" w:hAnsi="Calibri"/>
          <w:lang w:val="en-SG"/>
        </w:rPr>
      </w:pPr>
      <w:r>
        <w:rPr>
          <w:rFonts w:ascii="Calibri" w:hAnsi="Calibri"/>
          <w:lang w:val="en-SG"/>
        </w:rPr>
        <w:t xml:space="preserve">Liability of IALA </w:t>
      </w:r>
    </w:p>
    <w:p w14:paraId="57DE969E" w14:textId="77777777" w:rsidR="006D098E" w:rsidRDefault="00D97A14">
      <w:pPr>
        <w:pStyle w:val="BodyText"/>
        <w:numPr>
          <w:ilvl w:val="0"/>
          <w:numId w:val="23"/>
        </w:numPr>
        <w:rPr>
          <w:rFonts w:ascii="Calibri" w:hAnsi="Calibri"/>
          <w:lang w:val="en-SG"/>
        </w:rPr>
      </w:pPr>
      <w:r>
        <w:rPr>
          <w:rFonts w:ascii="Calibri" w:hAnsi="Calibri"/>
          <w:lang w:val="en-SG"/>
        </w:rPr>
        <w:t>Operational Model</w:t>
      </w:r>
    </w:p>
    <w:p w14:paraId="1144FFD9" w14:textId="77777777" w:rsidR="006D098E" w:rsidRDefault="00D97A14">
      <w:pPr>
        <w:pStyle w:val="BodyText"/>
        <w:numPr>
          <w:ilvl w:val="0"/>
          <w:numId w:val="23"/>
        </w:numPr>
        <w:rPr>
          <w:rFonts w:ascii="Calibri" w:hAnsi="Calibri"/>
          <w:lang w:val="en-SG"/>
        </w:rPr>
      </w:pPr>
      <w:r>
        <w:rPr>
          <w:rFonts w:ascii="Calibri" w:hAnsi="Calibri"/>
          <w:lang w:val="en-SG"/>
        </w:rPr>
        <w:t>Financial implications / business model</w:t>
      </w:r>
    </w:p>
    <w:p w14:paraId="1F17D025" w14:textId="77777777" w:rsidR="006D098E" w:rsidRDefault="00D97A14">
      <w:pPr>
        <w:pStyle w:val="Heading1"/>
        <w:ind w:left="0" w:firstLine="0"/>
        <w:rPr>
          <w:bCs/>
        </w:rPr>
      </w:pPr>
      <w:r>
        <w:lastRenderedPageBreak/>
        <w:t>ACTION REQUESTED</w:t>
      </w:r>
    </w:p>
    <w:p w14:paraId="6F98EAA3" w14:textId="77777777" w:rsidR="006D098E" w:rsidRDefault="00D97A14">
      <w:pPr>
        <w:pStyle w:val="BodyText"/>
        <w:spacing w:line="276" w:lineRule="auto"/>
        <w:rPr>
          <w:rFonts w:asciiTheme="minorHAnsi" w:hAnsiTheme="minorHAnsi" w:cstheme="minorHAnsi"/>
        </w:rPr>
      </w:pPr>
      <w:r>
        <w:rPr>
          <w:rFonts w:asciiTheme="minorHAnsi" w:hAnsiTheme="minorHAnsi" w:cstheme="minorHAnsi"/>
        </w:rPr>
        <w:t xml:space="preserve">DTEC requests: </w:t>
      </w:r>
    </w:p>
    <w:p w14:paraId="586E6F31" w14:textId="10C66385" w:rsidR="006D098E" w:rsidRDefault="00D97A14">
      <w:pPr>
        <w:pStyle w:val="BodyText"/>
        <w:numPr>
          <w:ilvl w:val="0"/>
          <w:numId w:val="21"/>
        </w:numPr>
        <w:rPr>
          <w:rFonts w:asciiTheme="minorHAnsi" w:hAnsiTheme="minorHAnsi" w:cstheme="minorHAnsi"/>
        </w:rPr>
      </w:pPr>
      <w:r>
        <w:rPr>
          <w:rFonts w:asciiTheme="minorHAnsi" w:hAnsiTheme="minorHAnsi" w:cstheme="minorHAnsi"/>
        </w:rPr>
        <w:t xml:space="preserve">ARM, VTS, ENG to give their opinion on this proposal - including any aspects they would like to see covered in the feasibility study - and </w:t>
      </w:r>
      <w:r w:rsidR="00EA0F24">
        <w:rPr>
          <w:rFonts w:asciiTheme="minorHAnsi" w:hAnsiTheme="minorHAnsi" w:cstheme="minorHAnsi"/>
        </w:rPr>
        <w:t xml:space="preserve">contribute them to a intersessional work group led by Thomas Christensen and to DTEC6. </w:t>
      </w:r>
    </w:p>
    <w:p w14:paraId="1FAC8DEF" w14:textId="77777777" w:rsidR="006D098E" w:rsidRDefault="00D97A14">
      <w:pPr>
        <w:pStyle w:val="BodyText"/>
        <w:rPr>
          <w:rFonts w:asciiTheme="minorHAnsi" w:hAnsiTheme="minorHAnsi" w:cstheme="minorHAnsi"/>
        </w:rPr>
      </w:pPr>
      <w:r>
        <w:br w:type="page"/>
      </w:r>
    </w:p>
    <w:p w14:paraId="39CDC937" w14:textId="77777777" w:rsidR="006D098E" w:rsidRDefault="00D97A14">
      <w:pPr>
        <w:pStyle w:val="Title"/>
      </w:pPr>
      <w:r>
        <w:lastRenderedPageBreak/>
        <w:t>Annex</w:t>
      </w:r>
    </w:p>
    <w:p w14:paraId="26AD1015" w14:textId="77777777" w:rsidR="006D098E" w:rsidRDefault="006D098E">
      <w:pPr>
        <w:pStyle w:val="BodyText"/>
        <w:tabs>
          <w:tab w:val="left" w:pos="2835"/>
        </w:tabs>
        <w:rPr>
          <w:rFonts w:ascii="Calibri" w:hAnsi="Calibri"/>
        </w:rPr>
      </w:pPr>
    </w:p>
    <w:p w14:paraId="584ECBF2" w14:textId="77777777" w:rsidR="006D098E" w:rsidRDefault="00D97A14">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61F2E658" w14:textId="77777777" w:rsidR="006D098E" w:rsidRDefault="00D97A14">
      <w:pPr>
        <w:pStyle w:val="BodyText"/>
        <w:tabs>
          <w:tab w:val="left" w:pos="1843"/>
        </w:tabs>
        <w:rPr>
          <w:rFonts w:ascii="Calibri" w:hAnsi="Calibri" w:cs="Arial"/>
          <w:b/>
          <w:sz w:val="24"/>
          <w:szCs w:val="24"/>
        </w:rPr>
      </w:pPr>
      <w:r>
        <w:rPr>
          <w:rFonts w:ascii="Calibri" w:hAnsi="Calibri" w:cs="Arial"/>
          <w:b/>
          <w:sz w:val="24"/>
          <w:szCs w:val="24"/>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bCs/>
          <w:sz w:val="24"/>
          <w:szCs w:val="24"/>
        </w:rPr>
        <w:t>X</w:t>
      </w:r>
      <w:r>
        <w:rPr>
          <w:rFonts w:ascii="Calibri" w:hAnsi="Calibri" w:cs="Arial"/>
          <w:sz w:val="24"/>
          <w:szCs w:val="24"/>
        </w:rPr>
        <w:t xml:space="preserve">  Input</w:t>
      </w:r>
    </w:p>
    <w:p w14:paraId="3E7B993B" w14:textId="77777777" w:rsidR="006D098E" w:rsidRDefault="00D97A14">
      <w:pPr>
        <w:pStyle w:val="BodyText"/>
        <w:tabs>
          <w:tab w:val="left" w:pos="1843"/>
        </w:tabs>
        <w:rPr>
          <w:rFonts w:ascii="Calibri" w:hAnsi="Calibri"/>
        </w:rPr>
      </w:pPr>
      <w:r>
        <w:rPr>
          <w:rFonts w:ascii="Calibri" w:hAnsi="Calibri" w:cs="Arial"/>
          <w:b/>
          <w:sz w:val="24"/>
          <w:szCs w:val="24"/>
        </w:rPr>
        <w:t>X</w:t>
      </w:r>
      <w:r>
        <w:rPr>
          <w:rFonts w:ascii="Calibri" w:hAnsi="Calibri" w:cs="Arial"/>
          <w:sz w:val="24"/>
          <w:szCs w:val="24"/>
        </w:rPr>
        <w:t xml:space="preserve">  </w:t>
      </w:r>
      <w:r>
        <w:rPr>
          <w:rFonts w:ascii="Calibri" w:hAnsi="Calibri" w:cs="Arial"/>
        </w:rPr>
        <w:t>DTEC</w:t>
      </w:r>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26B24F6A" w14:textId="77777777" w:rsidR="006D098E" w:rsidRDefault="006D098E">
      <w:pPr>
        <w:pStyle w:val="BodyText"/>
        <w:tabs>
          <w:tab w:val="left" w:pos="2835"/>
        </w:tabs>
        <w:rPr>
          <w:rFonts w:ascii="Calibri" w:hAnsi="Calibri"/>
        </w:rPr>
      </w:pPr>
    </w:p>
    <w:p w14:paraId="219D6D53" w14:textId="77777777" w:rsidR="006D098E" w:rsidRDefault="00D97A14">
      <w:pPr>
        <w:pStyle w:val="BodyText"/>
        <w:tabs>
          <w:tab w:val="left" w:pos="2835"/>
        </w:tabs>
        <w:rPr>
          <w:rFonts w:ascii="Calibri" w:hAnsi="Calibri"/>
        </w:rPr>
      </w:pPr>
      <w:r>
        <w:rPr>
          <w:rFonts w:ascii="Calibri" w:hAnsi="Calibri"/>
        </w:rPr>
        <w:t>Agenda item</w:t>
      </w:r>
      <w:r>
        <w:rPr>
          <w:rFonts w:ascii="Calibri" w:hAnsi="Calibri"/>
        </w:rPr>
        <w:tab/>
      </w:r>
      <w:r>
        <w:rPr>
          <w:rFonts w:ascii="Calibri" w:hAnsi="Calibri"/>
        </w:rPr>
        <w:tab/>
      </w:r>
      <w:r>
        <w:rPr>
          <w:rFonts w:ascii="Calibri" w:hAnsi="Calibri"/>
        </w:rPr>
        <w:tab/>
        <w:t>6.1</w:t>
      </w:r>
    </w:p>
    <w:p w14:paraId="2F77DE7F" w14:textId="77777777" w:rsidR="006D098E" w:rsidRDefault="00D97A14">
      <w:pPr>
        <w:pStyle w:val="BodyText"/>
        <w:tabs>
          <w:tab w:val="left" w:pos="2835"/>
        </w:tabs>
        <w:rPr>
          <w:rFonts w:ascii="Calibri" w:hAnsi="Calibri"/>
        </w:rPr>
      </w:pPr>
      <w:r>
        <w:rPr>
          <w:rFonts w:ascii="Calibri" w:hAnsi="Calibri"/>
        </w:rPr>
        <w:t xml:space="preserve">Technical Domain / Task Number </w:t>
      </w:r>
      <w:r>
        <w:rPr>
          <w:rFonts w:ascii="Calibri" w:hAnsi="Calibri"/>
        </w:rPr>
        <w:tab/>
        <w:t>…………………………………</w:t>
      </w:r>
    </w:p>
    <w:p w14:paraId="249F83B5" w14:textId="77777777" w:rsidR="006D098E" w:rsidRDefault="00D97A14">
      <w:pPr>
        <w:pStyle w:val="BodyText"/>
        <w:tabs>
          <w:tab w:val="left" w:pos="2835"/>
        </w:tabs>
        <w:ind w:left="2160" w:hanging="2160"/>
        <w:jc w:val="left"/>
        <w:rPr>
          <w:rFonts w:ascii="Calibri" w:hAnsi="Calibri"/>
        </w:rPr>
      </w:pPr>
      <w:r>
        <w:rPr>
          <w:rFonts w:ascii="Calibri" w:hAnsi="Calibri"/>
        </w:rPr>
        <w:t>Author(s) / Submitter(s)</w:t>
      </w:r>
      <w:r>
        <w:rPr>
          <w:rFonts w:ascii="Calibri" w:hAnsi="Calibri"/>
        </w:rPr>
        <w:tab/>
      </w:r>
      <w:r>
        <w:rPr>
          <w:rFonts w:ascii="Calibri" w:hAnsi="Calibri"/>
        </w:rPr>
        <w:tab/>
        <w:t>Australia (AMSA),</w:t>
      </w:r>
    </w:p>
    <w:p w14:paraId="168C7ADE" w14:textId="77777777" w:rsidR="006D098E" w:rsidRDefault="00D97A14">
      <w:pPr>
        <w:pStyle w:val="BodyText"/>
        <w:tabs>
          <w:tab w:val="left" w:pos="2835"/>
        </w:tabs>
        <w:ind w:left="2160" w:hanging="2160"/>
        <w:jc w:val="left"/>
        <w:rPr>
          <w:rFonts w:ascii="Calibri" w:hAnsi="Calibri"/>
        </w:rPr>
      </w:pPr>
      <w:r>
        <w:rPr>
          <w:rFonts w:ascii="Calibri" w:hAnsi="Calibri"/>
        </w:rPr>
        <w:tab/>
      </w:r>
      <w:r>
        <w:rPr>
          <w:rFonts w:ascii="Calibri" w:hAnsi="Calibri"/>
        </w:rPr>
        <w:tab/>
        <w:t>Republic of Korea (MOF),</w:t>
      </w:r>
    </w:p>
    <w:p w14:paraId="26524E66" w14:textId="77777777" w:rsidR="006D098E" w:rsidRDefault="00D97A14">
      <w:pPr>
        <w:pStyle w:val="BodyText"/>
        <w:tabs>
          <w:tab w:val="left" w:pos="2835"/>
        </w:tabs>
        <w:ind w:left="2160" w:hanging="2160"/>
        <w:jc w:val="left"/>
        <w:rPr>
          <w:rFonts w:ascii="Calibri" w:hAnsi="Calibri"/>
        </w:rPr>
      </w:pPr>
      <w:r>
        <w:rPr>
          <w:rFonts w:ascii="Calibri" w:hAnsi="Calibri"/>
        </w:rPr>
        <w:tab/>
      </w:r>
      <w:r>
        <w:rPr>
          <w:rFonts w:ascii="Calibri" w:hAnsi="Calibri"/>
        </w:rPr>
        <w:tab/>
        <w:t xml:space="preserve">United Kingdom (GRAD), </w:t>
      </w:r>
      <w:r>
        <w:rPr>
          <w:rFonts w:ascii="Calibri" w:hAnsi="Calibri"/>
        </w:rPr>
        <w:tab/>
      </w:r>
      <w:r>
        <w:rPr>
          <w:rFonts w:ascii="Calibri" w:hAnsi="Calibri"/>
        </w:rPr>
        <w:tab/>
      </w:r>
    </w:p>
    <w:p w14:paraId="3E9657ED" w14:textId="77777777" w:rsidR="006D098E" w:rsidRDefault="00D97A14">
      <w:pPr>
        <w:pStyle w:val="BodyText"/>
        <w:tabs>
          <w:tab w:val="left" w:pos="2835"/>
        </w:tabs>
        <w:ind w:left="2160" w:hanging="2160"/>
        <w:jc w:val="left"/>
        <w:rPr>
          <w:rFonts w:ascii="Calibri" w:hAnsi="Calibri"/>
        </w:rPr>
      </w:pPr>
      <w:r>
        <w:rPr>
          <w:rFonts w:ascii="Calibri" w:hAnsi="Calibri"/>
        </w:rPr>
        <w:tab/>
      </w:r>
      <w:r>
        <w:rPr>
          <w:rFonts w:ascii="Calibri" w:hAnsi="Calibri"/>
        </w:rPr>
        <w:tab/>
        <w:t xml:space="preserve">Fintraffic VTS, </w:t>
      </w:r>
    </w:p>
    <w:p w14:paraId="28B7F3C5" w14:textId="77777777" w:rsidR="006D098E" w:rsidRDefault="00D97A14">
      <w:pPr>
        <w:pStyle w:val="BodyText"/>
        <w:tabs>
          <w:tab w:val="left" w:pos="2835"/>
        </w:tabs>
        <w:ind w:left="2160" w:hanging="2160"/>
        <w:jc w:val="left"/>
        <w:rPr>
          <w:rFonts w:ascii="Calibri" w:hAnsi="Calibri"/>
          <w:color w:val="FF0000"/>
        </w:rPr>
      </w:pPr>
      <w:r>
        <w:rPr>
          <w:rFonts w:ascii="Calibri" w:hAnsi="Calibri"/>
        </w:rPr>
        <w:tab/>
      </w:r>
      <w:r>
        <w:rPr>
          <w:rFonts w:ascii="Calibri" w:hAnsi="Calibri"/>
        </w:rPr>
        <w:tab/>
        <w:t>AIVeNautics</w:t>
      </w:r>
    </w:p>
    <w:p w14:paraId="340F89C9" w14:textId="77777777" w:rsidR="006D098E" w:rsidRDefault="006D098E">
      <w:pPr>
        <w:pStyle w:val="BodyText"/>
        <w:tabs>
          <w:tab w:val="left" w:pos="2835"/>
        </w:tabs>
        <w:rPr>
          <w:rFonts w:ascii="Calibri" w:hAnsi="Calibri"/>
        </w:rPr>
      </w:pPr>
    </w:p>
    <w:p w14:paraId="5325A6DB" w14:textId="77777777" w:rsidR="006D098E" w:rsidRDefault="00D97A14">
      <w:pPr>
        <w:pStyle w:val="Title"/>
        <w:rPr>
          <w:rFonts w:ascii="Calibri" w:hAnsi="Calibri"/>
          <w:color w:val="0070C0"/>
        </w:rPr>
      </w:pPr>
      <w:r>
        <w:rPr>
          <w:rFonts w:ascii="Calibri" w:hAnsi="Calibri"/>
          <w:color w:val="0070C0"/>
        </w:rPr>
        <w:t>Proposal to Establish an Operational MCP Instance under IALA Custodianship</w:t>
      </w:r>
    </w:p>
    <w:p w14:paraId="667EFA4B" w14:textId="77777777" w:rsidR="006D098E" w:rsidRDefault="00D97A14">
      <w:pPr>
        <w:pStyle w:val="Heading1"/>
      </w:pPr>
      <w:r>
        <w:t>Summary</w:t>
      </w:r>
    </w:p>
    <w:p w14:paraId="30550E2D" w14:textId="77777777" w:rsidR="006D098E" w:rsidRDefault="00D97A14">
      <w:pPr>
        <w:pStyle w:val="BodyText"/>
        <w:rPr>
          <w:rFonts w:ascii="Calibri" w:hAnsi="Calibri"/>
        </w:rPr>
      </w:pPr>
      <w:r>
        <w:rPr>
          <w:rFonts w:ascii="Calibri" w:hAnsi="Calibri"/>
        </w:rPr>
        <w:t>This paper proposes that IALA consider establishing and operating its own instance of the Maritime Connectivity Platform (MCP) to support the delivery and discoverability of real-time maritime services, particularly those outside the traditional hydrographic domain. This would complement the potential IHO initiative (which is currently under discussion) while supporting IALA’s broader remit, especially with respect to services developed under the VTS and AtoN domains and other emerging digital maritime services.</w:t>
      </w:r>
    </w:p>
    <w:p w14:paraId="4A0DA2A6" w14:textId="77777777" w:rsidR="006D098E" w:rsidRDefault="00D97A14">
      <w:pPr>
        <w:pStyle w:val="Heading2"/>
      </w:pPr>
      <w:r>
        <w:t>Purpose of the document</w:t>
      </w:r>
    </w:p>
    <w:p w14:paraId="08258D07" w14:textId="77777777" w:rsidR="006D098E" w:rsidRDefault="00D97A14">
      <w:pPr>
        <w:pStyle w:val="BodyText"/>
        <w:rPr>
          <w:rFonts w:ascii="Calibri" w:hAnsi="Calibri"/>
        </w:rPr>
      </w:pPr>
      <w:r>
        <w:rPr>
          <w:rFonts w:ascii="Calibri" w:hAnsi="Calibri"/>
        </w:rPr>
        <w:t>The purpose of this document is to recommend that the DTEC committee initiate the drafting of a paper on establishing an operational MCP instance under its own custodianship and forward this to the PAP or Council as appropriate. This MCP instance would support the provision of services developed within the domain of IALA, particularly those unlikely to be addressed by the potential IHO MCP instance alone.</w:t>
      </w:r>
    </w:p>
    <w:p w14:paraId="23A00D67" w14:textId="77777777" w:rsidR="006D098E" w:rsidRDefault="00D97A14">
      <w:pPr>
        <w:pStyle w:val="Heading2"/>
      </w:pPr>
      <w:r>
        <w:t>Related documents</w:t>
      </w:r>
    </w:p>
    <w:p w14:paraId="4E2EE350" w14:textId="77777777" w:rsidR="006D098E" w:rsidRDefault="00D97A14">
      <w:pPr>
        <w:pStyle w:val="BodyText"/>
        <w:rPr>
          <w:rFonts w:ascii="Calibri" w:hAnsi="Calibri"/>
        </w:rPr>
      </w:pPr>
      <w:r>
        <w:rPr>
          <w:rFonts w:asciiTheme="minorHAnsi" w:hAnsiTheme="minorHAnsi" w:cstheme="minorHAnsi"/>
        </w:rPr>
        <w:t>HSSC17-04.4D</w:t>
      </w:r>
      <w:r>
        <w:rPr>
          <w:rFonts w:ascii="Calibri" w:hAnsi="Calibri"/>
        </w:rPr>
        <w:t xml:space="preserve"> Business Case: IHO Operated Intergovernmental MCP</w:t>
      </w:r>
    </w:p>
    <w:p w14:paraId="77D3450F" w14:textId="77777777" w:rsidR="006D098E" w:rsidRDefault="00D97A14">
      <w:pPr>
        <w:pStyle w:val="BodyText"/>
        <w:rPr>
          <w:rFonts w:asciiTheme="minorHAnsi" w:hAnsiTheme="minorHAnsi" w:cstheme="minorHAnsi"/>
          <w:lang w:val="en-AU"/>
        </w:rPr>
      </w:pPr>
      <w:r>
        <w:rPr>
          <w:rFonts w:asciiTheme="minorHAnsi" w:hAnsiTheme="minorHAnsi" w:cstheme="minorHAnsi"/>
          <w:lang w:val="en-AU"/>
        </w:rPr>
        <w:t>HSSC17-04.4E IHO infrastructure needs for secure data distribution</w:t>
      </w:r>
    </w:p>
    <w:p w14:paraId="7F0D37D9" w14:textId="77777777" w:rsidR="006D098E" w:rsidRDefault="00D97A14">
      <w:pPr>
        <w:pStyle w:val="BodyText"/>
        <w:rPr>
          <w:rFonts w:asciiTheme="minorHAnsi" w:hAnsiTheme="minorHAnsi" w:cstheme="minorHAnsi"/>
          <w:lang w:val="en-AU"/>
        </w:rPr>
      </w:pPr>
      <w:r>
        <w:rPr>
          <w:rFonts w:asciiTheme="minorHAnsi" w:hAnsiTheme="minorHAnsi" w:cstheme="minorHAnsi"/>
          <w:lang w:val="en-AU"/>
        </w:rPr>
        <w:t>IALA G1183: Provision of MCP identities</w:t>
      </w:r>
    </w:p>
    <w:p w14:paraId="39247326" w14:textId="77777777" w:rsidR="006D098E" w:rsidRDefault="00D97A14">
      <w:pPr>
        <w:pStyle w:val="BodyText"/>
        <w:rPr>
          <w:rFonts w:asciiTheme="minorHAnsi" w:hAnsiTheme="minorHAnsi" w:cstheme="minorHAnsi"/>
          <w:lang w:val="en-AU"/>
        </w:rPr>
      </w:pPr>
      <w:r>
        <w:rPr>
          <w:rFonts w:asciiTheme="minorHAnsi" w:hAnsiTheme="minorHAnsi" w:cstheme="minorHAnsi"/>
          <w:lang w:val="en-AU"/>
        </w:rPr>
        <w:t>IALA G</w:t>
      </w:r>
      <w:r>
        <w:rPr>
          <w:rFonts w:asciiTheme="minorHAnsi" w:hAnsiTheme="minorHAnsi" w:cstheme="minorHAnsi"/>
          <w:lang w:val="en-US"/>
        </w:rPr>
        <w:t>1191</w:t>
      </w:r>
      <w:r>
        <w:rPr>
          <w:rFonts w:asciiTheme="minorHAnsi" w:hAnsiTheme="minorHAnsi" w:cstheme="minorHAnsi"/>
          <w:lang w:val="en-AU"/>
        </w:rPr>
        <w:t>: Maritime Service Registry (MSR) Technical Specification</w:t>
      </w:r>
    </w:p>
    <w:p w14:paraId="46624143" w14:textId="77777777" w:rsidR="006D098E" w:rsidRDefault="00D97A14">
      <w:pPr>
        <w:pStyle w:val="BodyText"/>
        <w:rPr>
          <w:rFonts w:ascii="Calibri" w:hAnsi="Calibri"/>
          <w:lang w:val="en-AU"/>
        </w:rPr>
      </w:pPr>
      <w:r>
        <w:rPr>
          <w:rFonts w:asciiTheme="minorHAnsi" w:hAnsiTheme="minorHAnsi" w:cstheme="minorHAnsi"/>
          <w:lang w:val="en-AU"/>
        </w:rPr>
        <w:t>IALA G1164: Management of Maritime Resource Name Organization Identifiers</w:t>
      </w:r>
    </w:p>
    <w:p w14:paraId="426E739E" w14:textId="77777777" w:rsidR="006D098E" w:rsidRDefault="00D97A14">
      <w:pPr>
        <w:pStyle w:val="Heading1"/>
      </w:pPr>
      <w:r>
        <w:lastRenderedPageBreak/>
        <w:t>Background</w:t>
      </w:r>
    </w:p>
    <w:p w14:paraId="22564ACB" w14:textId="77777777" w:rsidR="006D098E" w:rsidRDefault="00D97A14">
      <w:pPr>
        <w:pStyle w:val="BodyText"/>
        <w:rPr>
          <w:rFonts w:asciiTheme="minorHAnsi" w:hAnsiTheme="minorHAnsi" w:cstheme="minorHAnsi"/>
        </w:rPr>
      </w:pPr>
      <w:r>
        <w:rPr>
          <w:rFonts w:asciiTheme="minorHAnsi" w:hAnsiTheme="minorHAnsi" w:cstheme="minorHAnsi"/>
        </w:rPr>
        <w:t>The concept of the MCP as the necessary backend infrastructure for SECOM-based real-time maritime services has been detailed in documents submitted to the IHO (HSSC17-04.4D and 04.4E). IHO’s focus is primarily on supporting governmental hydrographic services and the eventual SECOM integration into ECDIS.</w:t>
      </w:r>
    </w:p>
    <w:p w14:paraId="638011C7" w14:textId="77777777" w:rsidR="006D098E" w:rsidRDefault="00D97A14">
      <w:pPr>
        <w:pStyle w:val="BodyText"/>
        <w:rPr>
          <w:rFonts w:asciiTheme="minorHAnsi" w:hAnsiTheme="minorHAnsi" w:cstheme="minorHAnsi"/>
        </w:rPr>
      </w:pPr>
      <w:r>
        <w:rPr>
          <w:rFonts w:asciiTheme="minorHAnsi" w:hAnsiTheme="minorHAnsi" w:cstheme="minorHAnsi"/>
        </w:rPr>
        <w:t>However, IALA’s scope and stakeholder base extend well beyond the hydrographic domain. Technical services such as</w:t>
      </w:r>
      <w:r>
        <w:rPr>
          <w:rFonts w:asciiTheme="minorHAnsi" w:hAnsiTheme="minorHAnsi" w:cstheme="minorHAnsi"/>
          <w:lang w:val="en-US"/>
        </w:rPr>
        <w:t xml:space="preserve"> S-201 (AtoN Information), </w:t>
      </w:r>
      <w:r>
        <w:rPr>
          <w:rFonts w:asciiTheme="minorHAnsi" w:hAnsiTheme="minorHAnsi" w:cstheme="minorHAnsi"/>
        </w:rPr>
        <w:t xml:space="preserve">S-212 (Traffic Management), S-421 (Route Exchange) and other emerging digital services, fall under the purview of IALA committees, particularly the </w:t>
      </w:r>
      <w:r>
        <w:rPr>
          <w:rFonts w:asciiTheme="minorHAnsi" w:hAnsiTheme="minorHAnsi" w:cstheme="minorHAnsi"/>
          <w:lang w:val="en-US"/>
        </w:rPr>
        <w:t xml:space="preserve">ARM and </w:t>
      </w:r>
      <w:r>
        <w:rPr>
          <w:rFonts w:asciiTheme="minorHAnsi" w:hAnsiTheme="minorHAnsi" w:cstheme="minorHAnsi"/>
        </w:rPr>
        <w:t>VTS Committee</w:t>
      </w:r>
      <w:r>
        <w:rPr>
          <w:rFonts w:asciiTheme="minorHAnsi" w:hAnsiTheme="minorHAnsi" w:cstheme="minorHAnsi"/>
          <w:lang w:val="en-US"/>
        </w:rPr>
        <w:t>s</w:t>
      </w:r>
      <w:r>
        <w:rPr>
          <w:rFonts w:asciiTheme="minorHAnsi" w:hAnsiTheme="minorHAnsi" w:cstheme="minorHAnsi"/>
        </w:rPr>
        <w:t>, and are not exclusively or necessarily delivered via ECDIS. As such, these services require a supporting infrastructure that accommodates broader service delivery platforms and more diverse data provider profiles.</w:t>
      </w:r>
    </w:p>
    <w:p w14:paraId="4336FCCC" w14:textId="77777777" w:rsidR="006D098E" w:rsidRDefault="00D97A14">
      <w:pPr>
        <w:pStyle w:val="BodyText"/>
        <w:rPr>
          <w:rFonts w:asciiTheme="minorHAnsi" w:hAnsiTheme="minorHAnsi" w:cstheme="minorHAnsi"/>
          <w:b/>
          <w:caps/>
        </w:rPr>
      </w:pPr>
      <w:r>
        <w:rPr>
          <w:rFonts w:asciiTheme="minorHAnsi" w:hAnsiTheme="minorHAnsi" w:cstheme="minorHAnsi"/>
        </w:rPr>
        <w:t>Furthermore, the recent shutdown of the Navelink consortium has left the maritime sector without a stable, operational MCP instance. Without action from trusted international organisations like IALA, there’s a significant risk of fragmentation, vendor lock-in, and lack of trust in emerging proprietary infrastructures.</w:t>
      </w:r>
    </w:p>
    <w:p w14:paraId="2F8D0177" w14:textId="77777777" w:rsidR="006D098E" w:rsidRDefault="00D97A14">
      <w:pPr>
        <w:pStyle w:val="Heading1"/>
      </w:pPr>
      <w:r>
        <w:rPr>
          <w:b w:val="0"/>
          <w:caps w:val="0"/>
          <w:color w:val="auto"/>
          <w:sz w:val="22"/>
          <w:lang w:eastAsia="en-GB"/>
        </w:rPr>
        <w:t xml:space="preserve"> </w:t>
      </w:r>
      <w:r>
        <w:t>Discussion</w:t>
      </w:r>
    </w:p>
    <w:p w14:paraId="4F7E0686" w14:textId="77777777" w:rsidR="006D098E" w:rsidRDefault="00D97A14">
      <w:pPr>
        <w:pStyle w:val="Heading2"/>
        <w:rPr>
          <w:lang w:val="en-AU"/>
        </w:rPr>
      </w:pPr>
      <w:r>
        <w:rPr>
          <w:lang w:val="en-AU"/>
        </w:rPr>
        <w:t>Rationale for an IALA-Operated MCP Instance</w:t>
      </w:r>
    </w:p>
    <w:p w14:paraId="30CD29C8" w14:textId="77777777" w:rsidR="006D098E" w:rsidRDefault="00D97A14">
      <w:pPr>
        <w:pStyle w:val="BodyText"/>
        <w:rPr>
          <w:rFonts w:asciiTheme="minorHAnsi" w:hAnsiTheme="minorHAnsi" w:cstheme="minorHAnsi"/>
          <w:lang w:val="en-AU"/>
        </w:rPr>
      </w:pPr>
      <w:r>
        <w:rPr>
          <w:rFonts w:asciiTheme="minorHAnsi" w:hAnsiTheme="minorHAnsi" w:cstheme="minorHAnsi"/>
          <w:lang w:val="en-AU"/>
        </w:rPr>
        <w:t>The following points outline the key reasons why IALA is well positioned to establish and operate its own MCP instance:</w:t>
      </w:r>
    </w:p>
    <w:p w14:paraId="49C8B519" w14:textId="77777777" w:rsidR="006D098E" w:rsidRDefault="00D97A14">
      <w:pPr>
        <w:pStyle w:val="BodyText"/>
        <w:numPr>
          <w:ilvl w:val="0"/>
          <w:numId w:val="18"/>
        </w:numPr>
        <w:rPr>
          <w:rFonts w:asciiTheme="minorHAnsi" w:hAnsiTheme="minorHAnsi" w:cstheme="minorHAnsi"/>
          <w:lang w:val="en-AU"/>
        </w:rPr>
      </w:pPr>
      <w:r>
        <w:rPr>
          <w:rFonts w:asciiTheme="minorHAnsi" w:hAnsiTheme="minorHAnsi" w:cstheme="minorHAnsi"/>
          <w:lang w:val="en-AU"/>
        </w:rPr>
        <w:t>IALA encompasses a diverse range of members including VTS authorities, AtoN providers, and industry partners who are not typically represented within IHO. Some of these stakeholders will not interface directly with ECDIS but will still require secure, discoverable, and interoperable real-time services.</w:t>
      </w:r>
    </w:p>
    <w:p w14:paraId="33D858F3" w14:textId="77777777" w:rsidR="006D098E" w:rsidRDefault="00D97A14">
      <w:pPr>
        <w:pStyle w:val="BodyText"/>
        <w:numPr>
          <w:ilvl w:val="0"/>
          <w:numId w:val="18"/>
        </w:numPr>
        <w:rPr>
          <w:rFonts w:asciiTheme="minorHAnsi" w:hAnsiTheme="minorHAnsi" w:cstheme="minorHAnsi"/>
          <w:lang w:val="en-AU"/>
        </w:rPr>
      </w:pPr>
      <w:r>
        <w:rPr>
          <w:rFonts w:asciiTheme="minorHAnsi" w:hAnsiTheme="minorHAnsi" w:cstheme="minorHAnsi"/>
          <w:lang w:val="en-AU"/>
        </w:rPr>
        <w:t>Several services relevant to IALA members (e.g. Traffic clearance services using S-212) will not be supported within ECDIS platforms in the foreseeable future. An IALA MCP would ensure these services have an appropriate delivery and discovery mechanism aligned with the SECOM protocol, as it is unclear whether such services would be supported by the governance model of an IHO-operated MCP.</w:t>
      </w:r>
    </w:p>
    <w:p w14:paraId="0DD92617" w14:textId="77777777" w:rsidR="006D098E" w:rsidRDefault="00D97A14">
      <w:pPr>
        <w:pStyle w:val="BodyText"/>
        <w:numPr>
          <w:ilvl w:val="0"/>
          <w:numId w:val="18"/>
        </w:numPr>
        <w:rPr>
          <w:rFonts w:asciiTheme="minorHAnsi" w:hAnsiTheme="minorHAnsi" w:cstheme="minorHAnsi"/>
          <w:lang w:val="en-AU"/>
        </w:rPr>
      </w:pPr>
      <w:r>
        <w:rPr>
          <w:rFonts w:asciiTheme="minorHAnsi" w:hAnsiTheme="minorHAnsi" w:cstheme="minorHAnsi"/>
          <w:lang w:val="en-AU"/>
        </w:rPr>
        <w:t>The establishment of an additional MCP instance by IALA would contribute to a globally distributed and federated MCP infrastructure. This would avoid a single point of failure and increase the resilience of digital maritime services.</w:t>
      </w:r>
    </w:p>
    <w:p w14:paraId="5E970297" w14:textId="77777777" w:rsidR="006D098E" w:rsidRDefault="00D97A14">
      <w:pPr>
        <w:pStyle w:val="BodyText"/>
        <w:numPr>
          <w:ilvl w:val="0"/>
          <w:numId w:val="18"/>
        </w:numPr>
        <w:rPr>
          <w:rFonts w:asciiTheme="minorHAnsi" w:hAnsiTheme="minorHAnsi" w:cstheme="minorHAnsi"/>
          <w:lang w:val="en-AU"/>
        </w:rPr>
      </w:pPr>
      <w:r>
        <w:rPr>
          <w:rFonts w:asciiTheme="minorHAnsi" w:hAnsiTheme="minorHAnsi" w:cstheme="minorHAnsi"/>
          <w:lang w:val="en-AU"/>
        </w:rPr>
        <w:t>Unlike IHO, which is expected to prioritise governmental services initially, IALA, given its close relationship with industry stakeholders, could explore operational concepts that also include trusted non-governmental services from the outset, potentially accelerating service adoption.</w:t>
      </w:r>
    </w:p>
    <w:p w14:paraId="624B4A92" w14:textId="77777777" w:rsidR="006D098E" w:rsidRDefault="00D97A14">
      <w:pPr>
        <w:pStyle w:val="BodyText"/>
        <w:numPr>
          <w:ilvl w:val="0"/>
          <w:numId w:val="18"/>
        </w:numPr>
        <w:rPr>
          <w:rFonts w:asciiTheme="minorHAnsi" w:hAnsiTheme="minorHAnsi" w:cstheme="minorHAnsi"/>
          <w:lang w:val="en-AU"/>
        </w:rPr>
      </w:pPr>
      <w:r>
        <w:rPr>
          <w:rFonts w:asciiTheme="minorHAnsi" w:hAnsiTheme="minorHAnsi" w:cstheme="minorHAnsi"/>
          <w:lang w:val="en-AU"/>
        </w:rPr>
        <w:t>For many VTS authorities and AtoN service providers, IALA is the first point of reference at the international level. An MCP instance operated by IALA would lower the barrier for these organisations to onboard SECOM-compatible services.</w:t>
      </w:r>
    </w:p>
    <w:p w14:paraId="7D78BC92" w14:textId="77777777" w:rsidR="006D098E" w:rsidRDefault="00D97A14">
      <w:pPr>
        <w:pStyle w:val="BodyText"/>
        <w:numPr>
          <w:ilvl w:val="0"/>
          <w:numId w:val="18"/>
        </w:numPr>
        <w:rPr>
          <w:rFonts w:asciiTheme="minorHAnsi" w:hAnsiTheme="minorHAnsi" w:cstheme="minorHAnsi"/>
          <w:lang w:val="en-AU"/>
        </w:rPr>
      </w:pPr>
      <w:r>
        <w:rPr>
          <w:rFonts w:asciiTheme="minorHAnsi" w:hAnsiTheme="minorHAnsi" w:cstheme="minorHAnsi"/>
          <w:lang w:val="en-AU"/>
        </w:rPr>
        <w:t xml:space="preserve">IALA already operates a well-governed Maritime Resource Name (MRN) registry and follows established registration procedures (as described in Guideline 1164). These governance mechanisms could be extended or adapted to administer the </w:t>
      </w:r>
      <w:r>
        <w:rPr>
          <w:rFonts w:asciiTheme="minorHAnsi" w:hAnsiTheme="minorHAnsi" w:cstheme="minorHAnsi"/>
          <w:color w:val="0D0D0D"/>
          <w:shd w:val="clear" w:color="auto" w:fill="FFFFFF"/>
        </w:rPr>
        <w:t xml:space="preserve">Maritime Identity Registry (MIR) </w:t>
      </w:r>
      <w:r>
        <w:rPr>
          <w:rFonts w:asciiTheme="minorHAnsi" w:hAnsiTheme="minorHAnsi" w:cstheme="minorHAnsi"/>
          <w:lang w:val="en-AU"/>
        </w:rPr>
        <w:t xml:space="preserve">and </w:t>
      </w:r>
      <w:r>
        <w:rPr>
          <w:rFonts w:asciiTheme="minorHAnsi" w:hAnsiTheme="minorHAnsi" w:cstheme="minorHAnsi"/>
          <w:color w:val="0D0D0D"/>
          <w:shd w:val="clear" w:color="auto" w:fill="FFFFFF"/>
        </w:rPr>
        <w:t xml:space="preserve">Maritime Service Registry (MSR) </w:t>
      </w:r>
      <w:r>
        <w:rPr>
          <w:rFonts w:asciiTheme="minorHAnsi" w:hAnsiTheme="minorHAnsi" w:cstheme="minorHAnsi"/>
          <w:lang w:val="en-AU"/>
        </w:rPr>
        <w:t>components of the MCP.</w:t>
      </w:r>
    </w:p>
    <w:p w14:paraId="1BE71EB5" w14:textId="77777777" w:rsidR="006D098E" w:rsidRDefault="00D97A14">
      <w:pPr>
        <w:pStyle w:val="BodyText"/>
        <w:numPr>
          <w:ilvl w:val="0"/>
          <w:numId w:val="18"/>
        </w:numPr>
        <w:rPr>
          <w:rFonts w:asciiTheme="minorHAnsi" w:hAnsiTheme="minorHAnsi" w:cstheme="minorHAnsi"/>
          <w:lang w:val="en-AU"/>
        </w:rPr>
      </w:pPr>
      <w:r>
        <w:rPr>
          <w:rFonts w:asciiTheme="minorHAnsi" w:hAnsiTheme="minorHAnsi" w:cstheme="minorHAnsi"/>
          <w:lang w:val="en-AU"/>
        </w:rPr>
        <w:t>Supporting the concept of “few trusted MCP instances” rather than a single global node aligns with international responsibilities and governance principles. An IALA-operated instance could interoperate with the IHO instance, enabling cross-domain service discovery while maintaining independence and autonomy.</w:t>
      </w:r>
    </w:p>
    <w:p w14:paraId="0C91CE5D" w14:textId="77777777" w:rsidR="006D098E" w:rsidRDefault="00D97A14">
      <w:pPr>
        <w:pStyle w:val="BodyText"/>
        <w:numPr>
          <w:ilvl w:val="0"/>
          <w:numId w:val="18"/>
        </w:numPr>
        <w:rPr>
          <w:rFonts w:asciiTheme="minorHAnsi" w:hAnsiTheme="minorHAnsi" w:cstheme="minorHAnsi"/>
          <w:lang w:val="en-AU"/>
        </w:rPr>
      </w:pPr>
      <w:r>
        <w:rPr>
          <w:rFonts w:asciiTheme="minorHAnsi" w:hAnsiTheme="minorHAnsi" w:cstheme="minorHAnsi"/>
          <w:color w:val="0D0D0D"/>
          <w:shd w:val="clear" w:color="auto" w:fill="FFFFFF"/>
        </w:rPr>
        <w:lastRenderedPageBreak/>
        <w:t>IALA is the recognised owner and maintainer of the technical specifications for the MIR and MSR through its established guidelines. This positions IALA uniquely to not only operate an MCP instance but also ensure its alignment with evolving technical standards and operational requirements.</w:t>
      </w:r>
    </w:p>
    <w:p w14:paraId="50A679A3" w14:textId="77777777" w:rsidR="006D098E" w:rsidRDefault="00D97A14">
      <w:pPr>
        <w:pStyle w:val="Heading2"/>
        <w:rPr>
          <w:lang w:val="en-AU"/>
        </w:rPr>
      </w:pPr>
      <w:r>
        <w:rPr>
          <w:lang w:val="en-AU"/>
        </w:rPr>
        <w:t>Complementarity to IHO MCP</w:t>
      </w:r>
    </w:p>
    <w:p w14:paraId="1D95305E" w14:textId="77777777" w:rsidR="006D098E" w:rsidRDefault="00D97A14">
      <w:pPr>
        <w:pStyle w:val="BodyText"/>
        <w:rPr>
          <w:rFonts w:asciiTheme="minorHAnsi" w:hAnsiTheme="minorHAnsi" w:cstheme="minorHAnsi"/>
          <w:lang w:val="en-AU"/>
        </w:rPr>
      </w:pPr>
      <w:r>
        <w:rPr>
          <w:rFonts w:asciiTheme="minorHAnsi" w:hAnsiTheme="minorHAnsi" w:cstheme="minorHAnsi"/>
          <w:lang w:val="en-AU"/>
        </w:rPr>
        <w:t xml:space="preserve">While IHO’s MCP initiative initially targets S-124 and potentially S-129 and integration into ECDIS ecosystems, the IALA instance would cover a complementary set of services and stakeholders, focussing on AtoN and VTS related services and forming part of a federated global MCP network. The combined effect would be a </w:t>
      </w:r>
      <w:bookmarkStart w:id="0" w:name="_Hlk205212181"/>
      <w:r>
        <w:rPr>
          <w:rFonts w:asciiTheme="minorHAnsi" w:hAnsiTheme="minorHAnsi" w:cstheme="minorHAnsi"/>
          <w:lang w:val="en-AU"/>
        </w:rPr>
        <w:t>robust, open, and interoperable SECOM infrastructure covering a wider range of maritime services.</w:t>
      </w:r>
      <w:bookmarkEnd w:id="0"/>
    </w:p>
    <w:p w14:paraId="7F6D4AEE" w14:textId="77777777" w:rsidR="006D098E" w:rsidRDefault="00D97A14">
      <w:pPr>
        <w:pStyle w:val="BodyText"/>
        <w:rPr>
          <w:rFonts w:asciiTheme="minorHAnsi" w:hAnsiTheme="minorHAnsi" w:cstheme="minorHAnsi"/>
          <w:lang w:val="en-AU"/>
        </w:rPr>
      </w:pPr>
      <w:r>
        <w:rPr>
          <w:rFonts w:asciiTheme="minorHAnsi" w:hAnsiTheme="minorHAnsi" w:cstheme="minorHAnsi"/>
          <w:lang w:val="en-AU"/>
        </w:rPr>
        <w:t>The only service currently mandated to be supported by ECDIS (route exchange) falls within the IALA domain, as route exchange between vessel and shore is primarily defined to happen between VTS and the vessel. Consequently, most operators of such services are IALA members.</w:t>
      </w:r>
    </w:p>
    <w:p w14:paraId="1EE082ED" w14:textId="77777777" w:rsidR="006D098E" w:rsidRDefault="00D97A14">
      <w:pPr>
        <w:pStyle w:val="Heading2"/>
        <w:keepNext/>
        <w:rPr>
          <w:lang w:val="en-AU"/>
        </w:rPr>
      </w:pPr>
      <w:r>
        <w:rPr>
          <w:lang w:val="en-AU"/>
        </w:rPr>
        <w:t>Additional Considerations</w:t>
      </w:r>
    </w:p>
    <w:p w14:paraId="260B7852" w14:textId="77777777" w:rsidR="006D098E" w:rsidRDefault="00D97A14">
      <w:pPr>
        <w:pStyle w:val="BodyText"/>
        <w:rPr>
          <w:rFonts w:asciiTheme="minorHAnsi" w:hAnsiTheme="minorHAnsi" w:cstheme="minorHAnsi"/>
          <w:b/>
          <w:bCs/>
          <w:lang w:val="en-AU"/>
        </w:rPr>
      </w:pPr>
      <w:r>
        <w:rPr>
          <w:rFonts w:asciiTheme="minorHAnsi" w:hAnsiTheme="minorHAnsi" w:cstheme="minorHAnsi"/>
          <w:b/>
          <w:bCs/>
          <w:lang w:val="en-AU"/>
        </w:rPr>
        <w:t>Operational Aspects</w:t>
      </w:r>
    </w:p>
    <w:p w14:paraId="21139A70" w14:textId="77777777" w:rsidR="006D098E" w:rsidRDefault="00D97A14">
      <w:pPr>
        <w:pStyle w:val="BodyText"/>
        <w:rPr>
          <w:rFonts w:asciiTheme="minorHAnsi" w:hAnsiTheme="minorHAnsi" w:cstheme="minorHAnsi"/>
          <w:lang w:val="en-AU"/>
        </w:rPr>
      </w:pPr>
      <w:r>
        <w:rPr>
          <w:rFonts w:asciiTheme="minorHAnsi" w:hAnsiTheme="minorHAnsi" w:cstheme="minorHAnsi"/>
          <w:lang w:val="en-AU"/>
        </w:rPr>
        <w:t xml:space="preserve">There are open-source reference implementations of MCP available (developed and maintained by members of the MCP consortium; maritimeconnectivity.net), reducing development costs and facilitating quick deployment. Further details on the business case and cost implications are outlined in the documents </w:t>
      </w:r>
      <w:r>
        <w:rPr>
          <w:rFonts w:asciiTheme="minorHAnsi" w:hAnsiTheme="minorHAnsi" w:cstheme="minorHAnsi"/>
        </w:rPr>
        <w:t>HSSC17-04.4D and HSSC17-04.4E</w:t>
      </w:r>
      <w:r>
        <w:rPr>
          <w:rFonts w:asciiTheme="minorHAnsi" w:hAnsiTheme="minorHAnsi" w:cstheme="minorHAnsi"/>
          <w:lang w:val="en-AU"/>
        </w:rPr>
        <w:t xml:space="preserve"> as submitted to IHO HSSC17 and available via the IHO Portal</w:t>
      </w:r>
      <w:r>
        <w:rPr>
          <w:rStyle w:val="FootnoteReference"/>
          <w:rFonts w:cstheme="minorHAnsi"/>
          <w:lang w:val="en-AU"/>
        </w:rPr>
        <w:footnoteReference w:id="1"/>
      </w:r>
      <w:r>
        <w:rPr>
          <w:rFonts w:asciiTheme="minorHAnsi" w:hAnsiTheme="minorHAnsi" w:cstheme="minorHAnsi"/>
          <w:lang w:val="en-AU"/>
        </w:rPr>
        <w:t>.</w:t>
      </w:r>
    </w:p>
    <w:p w14:paraId="08187A75" w14:textId="77777777" w:rsidR="006D098E" w:rsidRDefault="00D97A14">
      <w:pPr>
        <w:pStyle w:val="BodyText"/>
        <w:rPr>
          <w:rFonts w:asciiTheme="minorHAnsi" w:hAnsiTheme="minorHAnsi" w:cstheme="minorHAnsi"/>
          <w:lang w:val="en-AU"/>
        </w:rPr>
      </w:pPr>
      <w:r>
        <w:rPr>
          <w:rFonts w:asciiTheme="minorHAnsi" w:hAnsiTheme="minorHAnsi" w:cstheme="minorHAnsi"/>
          <w:lang w:val="en-AU"/>
        </w:rPr>
        <w:t>IALA could leverage partnerships with other organisations for global distribution and failover support.</w:t>
      </w:r>
    </w:p>
    <w:p w14:paraId="2E1E7DB9" w14:textId="77777777" w:rsidR="006D098E" w:rsidRDefault="00D97A14">
      <w:pPr>
        <w:pStyle w:val="BodyText"/>
        <w:rPr>
          <w:rFonts w:asciiTheme="minorHAnsi" w:hAnsiTheme="minorHAnsi" w:cstheme="minorHAnsi"/>
          <w:lang w:val="en-AU"/>
        </w:rPr>
      </w:pPr>
      <w:r>
        <w:rPr>
          <w:rFonts w:ascii="Calibri" w:hAnsi="Calibri" w:cstheme="minorHAnsi"/>
          <w:lang w:val="en-US"/>
        </w:rPr>
        <w:t>The financial burden of operating a reliable MCP instance (particularly one meeting stringent uptime and security requirements) may present a challenge to IALA. To address this, a paid subscription model could be considered, potentially applying even to IALA member states. This might not have been a common practice in the past, however, it may offer a sustainable way to fund the operational costs associated with delivering a core maritime service component.</w:t>
      </w:r>
    </w:p>
    <w:p w14:paraId="62C9E3EB" w14:textId="77777777" w:rsidR="006D098E" w:rsidRDefault="00D97A14">
      <w:pPr>
        <w:pStyle w:val="BodyText"/>
        <w:rPr>
          <w:rFonts w:ascii="Calibri" w:hAnsi="Calibri" w:cstheme="minorBidi"/>
          <w:lang w:val="en-AU"/>
        </w:rPr>
      </w:pPr>
      <w:r>
        <w:rPr>
          <w:rFonts w:ascii="Calibri" w:hAnsi="Calibri" w:cstheme="minorBidi"/>
          <w:lang w:val="en-AU"/>
        </w:rPr>
        <w:t>If IALA members are concerned about liability in this context, it could also be considered to establish an independent legal entity under IALA’s governance, which could operate the MCP - and thus shield IALA and its members from any liability.</w:t>
      </w:r>
    </w:p>
    <w:p w14:paraId="763993AC" w14:textId="77777777" w:rsidR="006D098E" w:rsidRDefault="00D97A14">
      <w:pPr>
        <w:pStyle w:val="BodyText"/>
        <w:rPr>
          <w:rFonts w:ascii="Calibri" w:hAnsi="Calibri" w:cstheme="minorBidi"/>
          <w:b/>
          <w:bCs/>
          <w:lang w:val="en-AU"/>
        </w:rPr>
      </w:pPr>
      <w:r>
        <w:rPr>
          <w:rFonts w:ascii="Calibri" w:hAnsi="Calibri" w:cstheme="minorBidi"/>
          <w:b/>
          <w:bCs/>
          <w:lang w:val="en-AU"/>
        </w:rPr>
        <w:t>Impact on the IALA MCP test instance</w:t>
      </w:r>
    </w:p>
    <w:p w14:paraId="19E31D81" w14:textId="77777777" w:rsidR="006D098E" w:rsidRDefault="00D97A14">
      <w:pPr>
        <w:pStyle w:val="BodyText"/>
        <w:rPr>
          <w:rFonts w:ascii="Calibri" w:hAnsi="Calibri" w:cstheme="minorBidi"/>
          <w:lang w:val="en-AU"/>
        </w:rPr>
      </w:pPr>
      <w:r>
        <w:rPr>
          <w:rFonts w:ascii="Calibri" w:hAnsi="Calibri" w:cstheme="minorBidi"/>
          <w:lang w:val="en-AU"/>
        </w:rPr>
        <w:t xml:space="preserve">The primary purpose of the </w:t>
      </w:r>
      <w:hyperlink r:id="rId11">
        <w:r w:rsidR="006D098E">
          <w:rPr>
            <w:rStyle w:val="Hyperlink"/>
            <w:rFonts w:ascii="Calibri" w:hAnsi="Calibri" w:cstheme="minorBidi"/>
            <w:lang w:val="en-AU"/>
          </w:rPr>
          <w:t>IALA MCP test instance</w:t>
        </w:r>
      </w:hyperlink>
      <w:r>
        <w:rPr>
          <w:rFonts w:ascii="Calibri" w:hAnsi="Calibri" w:cstheme="minorBidi"/>
          <w:lang w:val="en-AU"/>
        </w:rPr>
        <w:t xml:space="preserve"> is to support IALA members in the development, testing and validation of digital maritime services in the context of e-Navigation. As highlighted on the IALA website, the test instance is strictly non-operational, with no guarantees regarding availability or liability. In contrast, an operational instance would be expected to meet defined service levels and provide appropriate assurances. Therefore, its establishment would in no way affect the IALA test instance currently provided by KRISO and GRAD.</w:t>
      </w:r>
    </w:p>
    <w:p w14:paraId="38EFA69F" w14:textId="77777777" w:rsidR="006D098E" w:rsidRDefault="00D97A14">
      <w:pPr>
        <w:pStyle w:val="BodyText"/>
        <w:rPr>
          <w:rFonts w:ascii="Calibri" w:hAnsi="Calibri" w:cstheme="minorHAnsi"/>
          <w:b/>
          <w:bCs/>
          <w:lang w:val="en-AU"/>
        </w:rPr>
      </w:pPr>
      <w:r>
        <w:rPr>
          <w:rFonts w:ascii="Calibri" w:hAnsi="Calibri" w:cstheme="minorHAnsi"/>
          <w:b/>
          <w:bCs/>
          <w:lang w:val="en-AU"/>
        </w:rPr>
        <w:t>Revision of G1191</w:t>
      </w:r>
    </w:p>
    <w:p w14:paraId="5CD7E38C" w14:textId="77777777" w:rsidR="006D098E" w:rsidRDefault="00D97A14">
      <w:pPr>
        <w:jc w:val="both"/>
        <w:rPr>
          <w:rFonts w:ascii="Calibri" w:hAnsi="Calibri" w:cstheme="minorHAnsi"/>
          <w:lang w:val="en-AU"/>
        </w:rPr>
      </w:pPr>
      <w:r>
        <w:rPr>
          <w:rFonts w:ascii="Calibri" w:hAnsi="Calibri" w:cstheme="minorHAnsi"/>
          <w:lang w:val="en-AU"/>
        </w:rPr>
        <w:t>Expanding the current MSR specification to support the endorsement of services could simplify the process of identifying reliable and authoritative services for end-users. If IHO and IALA MSRs were to list services within their domains that they formally endorse (such as route exchange services provided by verified VTSs) and make this information visible in search results, it would enhance user trust and confidence. Incorporating such details into G1191 would require only a minor amendment.</w:t>
      </w:r>
    </w:p>
    <w:p w14:paraId="61415E21" w14:textId="77777777" w:rsidR="006D098E" w:rsidRDefault="00D97A14">
      <w:pPr>
        <w:pStyle w:val="Heading1"/>
      </w:pPr>
      <w:r>
        <w:lastRenderedPageBreak/>
        <w:t>Action requested of the Committee</w:t>
      </w:r>
    </w:p>
    <w:p w14:paraId="23C503E3" w14:textId="77777777" w:rsidR="006D098E" w:rsidRDefault="00D97A14">
      <w:pPr>
        <w:pStyle w:val="NormalWeb"/>
        <w:shd w:val="clear" w:color="auto" w:fill="FFFFFF"/>
        <w:spacing w:before="280" w:after="280"/>
        <w:rPr>
          <w:rFonts w:asciiTheme="minorHAnsi" w:hAnsiTheme="minorHAnsi" w:cstheme="minorHAnsi"/>
          <w:color w:val="0D0D0D"/>
          <w:sz w:val="22"/>
          <w:szCs w:val="22"/>
        </w:rPr>
      </w:pPr>
      <w:r>
        <w:rPr>
          <w:rFonts w:asciiTheme="minorHAnsi" w:hAnsiTheme="minorHAnsi" w:cstheme="minorHAnsi"/>
          <w:color w:val="0D0D0D"/>
          <w:sz w:val="22"/>
          <w:szCs w:val="22"/>
        </w:rPr>
        <w:t>The Committee is invited to:</w:t>
      </w:r>
    </w:p>
    <w:p w14:paraId="5832E485" w14:textId="77777777" w:rsidR="006D098E" w:rsidRDefault="00D97A14">
      <w:pPr>
        <w:pStyle w:val="NormalWeb"/>
        <w:numPr>
          <w:ilvl w:val="0"/>
          <w:numId w:val="17"/>
        </w:numPr>
        <w:shd w:val="clear" w:color="auto" w:fill="FFFFFF"/>
        <w:spacing w:beforeAutospacing="0" w:afterAutospacing="0"/>
        <w:rPr>
          <w:rFonts w:asciiTheme="minorHAnsi" w:hAnsiTheme="minorHAnsi" w:cstheme="minorHAnsi"/>
          <w:color w:val="0D0D0D"/>
          <w:sz w:val="22"/>
          <w:szCs w:val="22"/>
        </w:rPr>
      </w:pPr>
      <w:r>
        <w:rPr>
          <w:rStyle w:val="Strong"/>
          <w:rFonts w:asciiTheme="minorHAnsi" w:hAnsiTheme="minorHAnsi" w:cstheme="minorHAnsi"/>
          <w:b w:val="0"/>
          <w:bCs w:val="0"/>
          <w:color w:val="0D0D0D"/>
          <w:sz w:val="22"/>
          <w:szCs w:val="22"/>
        </w:rPr>
        <w:t>Consider the strategic and technical benefits of IALA operating an MCP instance</w:t>
      </w:r>
      <w:r>
        <w:rPr>
          <w:rFonts w:asciiTheme="minorHAnsi" w:hAnsiTheme="minorHAnsi" w:cstheme="minorHAnsi"/>
          <w:b/>
          <w:bCs/>
          <w:color w:val="0D0D0D"/>
          <w:sz w:val="22"/>
          <w:szCs w:val="22"/>
        </w:rPr>
        <w:t> </w:t>
      </w:r>
      <w:r>
        <w:rPr>
          <w:rFonts w:asciiTheme="minorHAnsi" w:hAnsiTheme="minorHAnsi" w:cstheme="minorHAnsi"/>
          <w:color w:val="0D0D0D"/>
          <w:sz w:val="22"/>
          <w:szCs w:val="22"/>
        </w:rPr>
        <w:t>to support SECOM-based real-time maritime services, especially those not addressed by IHO.</w:t>
      </w:r>
    </w:p>
    <w:p w14:paraId="33759FFA" w14:textId="77777777" w:rsidR="006D098E" w:rsidRDefault="00D97A14">
      <w:pPr>
        <w:pStyle w:val="NormalWeb"/>
        <w:numPr>
          <w:ilvl w:val="0"/>
          <w:numId w:val="17"/>
        </w:numPr>
        <w:shd w:val="clear" w:color="auto" w:fill="FFFFFF"/>
        <w:spacing w:beforeAutospacing="0" w:afterAutospacing="0"/>
        <w:rPr>
          <w:rFonts w:asciiTheme="minorHAnsi" w:hAnsiTheme="minorHAnsi" w:cstheme="minorHAnsi"/>
          <w:color w:val="0D0D0D"/>
          <w:sz w:val="22"/>
          <w:szCs w:val="22"/>
        </w:rPr>
      </w:pPr>
      <w:r>
        <w:rPr>
          <w:rStyle w:val="Strong"/>
          <w:rFonts w:asciiTheme="minorHAnsi" w:hAnsiTheme="minorHAnsi" w:cstheme="minorHAnsi"/>
          <w:b w:val="0"/>
          <w:bCs w:val="0"/>
          <w:color w:val="0D0D0D"/>
          <w:sz w:val="22"/>
          <w:szCs w:val="22"/>
        </w:rPr>
        <w:t>Draft</w:t>
      </w:r>
      <w:r>
        <w:rPr>
          <w:rFonts w:asciiTheme="minorHAnsi" w:hAnsiTheme="minorHAnsi" w:cstheme="minorHAnsi"/>
          <w:color w:val="0D0D0D"/>
          <w:sz w:val="22"/>
          <w:szCs w:val="22"/>
        </w:rPr>
        <w:t xml:space="preserve"> a liaison note or position paper on the concept, including operational, technical, and governance models aligned with existing IALA structures.</w:t>
      </w:r>
    </w:p>
    <w:p w14:paraId="4287159C" w14:textId="77777777" w:rsidR="006D098E" w:rsidRDefault="00D97A14">
      <w:pPr>
        <w:pStyle w:val="NormalWeb"/>
        <w:numPr>
          <w:ilvl w:val="0"/>
          <w:numId w:val="17"/>
        </w:numPr>
        <w:shd w:val="clear" w:color="auto" w:fill="FFFFFF"/>
        <w:spacing w:beforeAutospacing="0" w:afterAutospacing="0"/>
        <w:rPr>
          <w:rFonts w:asciiTheme="minorHAnsi" w:hAnsiTheme="minorHAnsi" w:cstheme="minorHAnsi"/>
          <w:color w:val="0D0D0D"/>
          <w:sz w:val="22"/>
          <w:szCs w:val="22"/>
        </w:rPr>
      </w:pPr>
      <w:r>
        <w:rPr>
          <w:rStyle w:val="Strong"/>
          <w:rFonts w:asciiTheme="minorHAnsi" w:hAnsiTheme="minorHAnsi" w:cstheme="minorHAnsi"/>
          <w:b w:val="0"/>
          <w:bCs w:val="0"/>
          <w:color w:val="0D0D0D"/>
          <w:sz w:val="22"/>
          <w:szCs w:val="22"/>
        </w:rPr>
        <w:t>Forward the paper to the PAP or Council, as appropriate,</w:t>
      </w:r>
      <w:r>
        <w:rPr>
          <w:rFonts w:asciiTheme="minorHAnsi" w:hAnsiTheme="minorHAnsi" w:cstheme="minorHAnsi"/>
          <w:color w:val="0D0D0D"/>
          <w:sz w:val="22"/>
          <w:szCs w:val="22"/>
        </w:rPr>
        <w:t> for consideration and further action.</w:t>
      </w:r>
    </w:p>
    <w:p w14:paraId="5354C8B4" w14:textId="77777777" w:rsidR="006D098E" w:rsidRDefault="00D97A14">
      <w:pPr>
        <w:pStyle w:val="NormalWeb"/>
        <w:numPr>
          <w:ilvl w:val="0"/>
          <w:numId w:val="17"/>
        </w:numPr>
        <w:shd w:val="clear" w:color="auto" w:fill="FFFFFF"/>
        <w:spacing w:beforeAutospacing="0" w:afterAutospacing="0"/>
        <w:rPr>
          <w:rFonts w:asciiTheme="minorHAnsi" w:hAnsiTheme="minorHAnsi" w:cstheme="minorHAnsi"/>
          <w:color w:val="0D0D0D"/>
          <w:sz w:val="22"/>
          <w:szCs w:val="22"/>
        </w:rPr>
      </w:pPr>
      <w:r>
        <w:rPr>
          <w:rFonts w:asciiTheme="minorHAnsi" w:hAnsiTheme="minorHAnsi" w:cstheme="minorHAnsi"/>
          <w:color w:val="0D0D0D"/>
          <w:sz w:val="22"/>
          <w:szCs w:val="22"/>
        </w:rPr>
        <w:t>Consider the proposal to revise IALA G1191, as appropriate.</w:t>
      </w:r>
    </w:p>
    <w:p w14:paraId="76A482B8" w14:textId="77777777" w:rsidR="006D098E" w:rsidRDefault="006D098E">
      <w:pPr>
        <w:pStyle w:val="List1"/>
        <w:numPr>
          <w:ilvl w:val="0"/>
          <w:numId w:val="0"/>
        </w:numPr>
        <w:ind w:left="567" w:hanging="567"/>
        <w:rPr>
          <w:rFonts w:ascii="Calibri" w:hAnsi="Calibri"/>
        </w:rPr>
      </w:pPr>
    </w:p>
    <w:p w14:paraId="2037CB2D" w14:textId="77777777" w:rsidR="006D098E" w:rsidRDefault="006D098E">
      <w:pPr>
        <w:pStyle w:val="AnnexHeading3"/>
        <w:numPr>
          <w:ilvl w:val="0"/>
          <w:numId w:val="0"/>
        </w:numPr>
        <w:rPr>
          <w:rFonts w:ascii="Calibri" w:hAnsi="Calibri"/>
          <w:highlight w:val="yellow"/>
          <w:lang w:eastAsia="en-US"/>
        </w:rPr>
      </w:pPr>
    </w:p>
    <w:sectPr w:rsidR="006D098E">
      <w:headerReference w:type="even" r:id="rId12"/>
      <w:headerReference w:type="default" r:id="rId13"/>
      <w:headerReference w:type="first" r:id="rId14"/>
      <w:pgSz w:w="11906" w:h="16838"/>
      <w:pgMar w:top="1134" w:right="1134" w:bottom="1134" w:left="1134"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03DF69" w14:textId="77777777" w:rsidR="00C253A9" w:rsidRDefault="00C253A9">
      <w:r>
        <w:separator/>
      </w:r>
    </w:p>
  </w:endnote>
  <w:endnote w:type="continuationSeparator" w:id="0">
    <w:p w14:paraId="004F1087" w14:textId="77777777" w:rsidR="00C253A9" w:rsidRDefault="00C25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1"/>
    <w:family w:val="swiss"/>
    <w:pitch w:val="variable"/>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59B6E2" w14:textId="77777777" w:rsidR="00C253A9" w:rsidRDefault="00C253A9">
      <w:r>
        <w:separator/>
      </w:r>
    </w:p>
  </w:footnote>
  <w:footnote w:type="continuationSeparator" w:id="0">
    <w:p w14:paraId="747B1A40" w14:textId="77777777" w:rsidR="00C253A9" w:rsidRDefault="00C253A9">
      <w:r>
        <w:continuationSeparator/>
      </w:r>
    </w:p>
  </w:footnote>
  <w:footnote w:id="1">
    <w:p w14:paraId="43D17927" w14:textId="77777777" w:rsidR="006D098E" w:rsidRDefault="00D97A14">
      <w:pPr>
        <w:pStyle w:val="FootnoteText"/>
        <w:rPr>
          <w:lang w:val="en-AU"/>
        </w:rPr>
      </w:pPr>
      <w:r>
        <w:rPr>
          <w:rStyle w:val="FootnoteCharacters"/>
        </w:rPr>
        <w:footnoteRef/>
      </w:r>
      <w:r>
        <w:t xml:space="preserve"> </w:t>
      </w:r>
      <w:r>
        <w:rPr>
          <w:rFonts w:asciiTheme="minorHAnsi" w:hAnsiTheme="minorHAnsi" w:cstheme="minorHAnsi"/>
          <w:lang w:val="en-AU"/>
        </w:rPr>
        <w:t xml:space="preserve">See </w:t>
      </w:r>
      <w:hyperlink r:id="rId1">
        <w:r w:rsidR="006D098E">
          <w:rPr>
            <w:rStyle w:val="Hyperlink"/>
            <w:rFonts w:asciiTheme="minorHAnsi" w:hAnsiTheme="minorHAnsi" w:cstheme="minorHAnsi"/>
            <w:color w:val="0070C0"/>
            <w:u w:val="single"/>
            <w:lang w:val="en-AU"/>
          </w:rPr>
          <w:t>https://portal.iho.int/page/meetings/858</w:t>
        </w:r>
      </w:hyperlink>
      <w:r>
        <w:rPr>
          <w:rFonts w:asciiTheme="minorHAnsi" w:hAnsiTheme="minorHAnsi" w:cstheme="minorHAnsi"/>
          <w:color w:val="0070C0"/>
          <w:lang w:val="en-AU"/>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CB08E" w14:textId="77777777" w:rsidR="006D098E" w:rsidRDefault="006D09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AC333" w14:textId="77777777" w:rsidR="006D098E" w:rsidRDefault="00D97A14">
    <w:pPr>
      <w:pStyle w:val="Header"/>
      <w:jc w:val="right"/>
    </w:pPr>
    <w:r>
      <w:rPr>
        <w:noProof/>
      </w:rPr>
      <w:drawing>
        <wp:inline distT="0" distB="0" distL="0" distR="0" wp14:anchorId="71B24025" wp14:editId="5E53D216">
          <wp:extent cx="850900" cy="824230"/>
          <wp:effectExtent l="0" t="0" r="0" b="0"/>
          <wp:docPr id="1" name="Image2" descr="A logo with a mermaid in the ai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A logo with a mermaid in the air&#10;&#10;AI-generated content may be incorrect."/>
                  <pic:cNvPicPr>
                    <a:picLocks noChangeAspect="1" noChangeArrowheads="1"/>
                  </pic:cNvPicPr>
                </pic:nvPicPr>
                <pic:blipFill>
                  <a:blip r:embed="rId1"/>
                  <a:stretch>
                    <a:fillRect/>
                  </a:stretch>
                </pic:blipFill>
                <pic:spPr bwMode="auto">
                  <a:xfrm>
                    <a:off x="0" y="0"/>
                    <a:ext cx="850900" cy="82423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1157E" w14:textId="77777777" w:rsidR="006D098E" w:rsidRDefault="00D97A14">
    <w:pPr>
      <w:pStyle w:val="Header"/>
      <w:jc w:val="right"/>
    </w:pPr>
    <w:r>
      <w:rPr>
        <w:noProof/>
      </w:rPr>
      <w:drawing>
        <wp:inline distT="0" distB="0" distL="0" distR="0" wp14:anchorId="50AF7F91" wp14:editId="77BDB4E4">
          <wp:extent cx="850900" cy="824230"/>
          <wp:effectExtent l="0" t="0" r="0" b="0"/>
          <wp:docPr id="2" name="Image2" descr="A logo with a mermaid in the ai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A logo with a mermaid in the air&#10;&#10;AI-generated content may be incorrect."/>
                  <pic:cNvPicPr>
                    <a:picLocks noChangeAspect="1" noChangeArrowheads="1"/>
                  </pic:cNvPicPr>
                </pic:nvPicPr>
                <pic:blipFill>
                  <a:blip r:embed="rId1"/>
                  <a:stretch>
                    <a:fillRect/>
                  </a:stretch>
                </pic:blipFill>
                <pic:spPr bwMode="auto">
                  <a:xfrm>
                    <a:off x="0" y="0"/>
                    <a:ext cx="850900" cy="8242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B027B"/>
    <w:multiLevelType w:val="multilevel"/>
    <w:tmpl w:val="8D30EE0E"/>
    <w:lvl w:ilvl="0">
      <w:start w:val="1"/>
      <w:numFmt w:val="decimal"/>
      <w:pStyle w:val="AnnexTablecaption"/>
      <w:lvlText w:val="Tabl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12A56E9C"/>
    <w:multiLevelType w:val="multilevel"/>
    <w:tmpl w:val="3BD81E0A"/>
    <w:lvl w:ilvl="0">
      <w:start w:val="1"/>
      <w:numFmt w:val="decimal"/>
      <w:pStyle w:val="Appendix"/>
      <w:lvlText w:val="APPENDIX %1"/>
      <w:lvlJc w:val="left"/>
      <w:pPr>
        <w:tabs>
          <w:tab w:val="num" w:pos="0"/>
        </w:tabs>
        <w:ind w:left="1701" w:hanging="1701"/>
      </w:pPr>
      <w:rPr>
        <w:rFonts w:ascii="Arial Bold" w:hAnsi="Arial Bold" w:cs="Times New Roman"/>
        <w:b/>
        <w:bCs/>
        <w:i w:val="0"/>
        <w:iCs w:val="0"/>
        <w:caps/>
        <w:strike w:val="0"/>
        <w:dstrike w:val="0"/>
        <w:vanish w:val="0"/>
        <w:color w:val="4F81BD" w:themeColor="accent1"/>
        <w:spacing w:val="0"/>
        <w:w w:val="10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3E3250F"/>
    <w:multiLevelType w:val="multilevel"/>
    <w:tmpl w:val="B6C896D2"/>
    <w:lvl w:ilvl="0">
      <w:start w:val="1"/>
      <w:numFmt w:val="decimal"/>
      <w:pStyle w:val="AnnexFigure"/>
      <w:lvlText w:val="Figure %1"/>
      <w:lvlJc w:val="left"/>
      <w:pPr>
        <w:tabs>
          <w:tab w:val="num" w:pos="1701"/>
        </w:tabs>
        <w:ind w:left="1701" w:hanging="1701"/>
      </w:pPr>
      <w:rPr>
        <w:rFonts w:ascii="Arial" w:hAnsi="Arial"/>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E9C78BB"/>
    <w:multiLevelType w:val="multilevel"/>
    <w:tmpl w:val="D9C4EA10"/>
    <w:lvl w:ilvl="0">
      <w:start w:val="1"/>
      <w:numFmt w:val="bullet"/>
      <w:lvlText w:val=""/>
      <w:lvlJc w:val="left"/>
      <w:pPr>
        <w:tabs>
          <w:tab w:val="num" w:pos="0"/>
        </w:tabs>
        <w:ind w:left="787" w:hanging="360"/>
      </w:pPr>
      <w:rPr>
        <w:rFonts w:ascii="Symbol" w:hAnsi="Symbol" w:cs="Symbol" w:hint="default"/>
      </w:rPr>
    </w:lvl>
    <w:lvl w:ilvl="1">
      <w:start w:val="1"/>
      <w:numFmt w:val="bullet"/>
      <w:lvlText w:val="o"/>
      <w:lvlJc w:val="left"/>
      <w:pPr>
        <w:tabs>
          <w:tab w:val="num" w:pos="0"/>
        </w:tabs>
        <w:ind w:left="1507" w:hanging="360"/>
      </w:pPr>
      <w:rPr>
        <w:rFonts w:ascii="Courier New" w:hAnsi="Courier New" w:cs="Courier New" w:hint="default"/>
      </w:rPr>
    </w:lvl>
    <w:lvl w:ilvl="2">
      <w:start w:val="1"/>
      <w:numFmt w:val="bullet"/>
      <w:lvlText w:val=""/>
      <w:lvlJc w:val="left"/>
      <w:pPr>
        <w:tabs>
          <w:tab w:val="num" w:pos="0"/>
        </w:tabs>
        <w:ind w:left="2227" w:hanging="360"/>
      </w:pPr>
      <w:rPr>
        <w:rFonts w:ascii="Wingdings" w:hAnsi="Wingdings" w:cs="Wingdings" w:hint="default"/>
      </w:rPr>
    </w:lvl>
    <w:lvl w:ilvl="3">
      <w:start w:val="1"/>
      <w:numFmt w:val="bullet"/>
      <w:lvlText w:val=""/>
      <w:lvlJc w:val="left"/>
      <w:pPr>
        <w:tabs>
          <w:tab w:val="num" w:pos="0"/>
        </w:tabs>
        <w:ind w:left="2947" w:hanging="360"/>
      </w:pPr>
      <w:rPr>
        <w:rFonts w:ascii="Symbol" w:hAnsi="Symbol" w:cs="Symbol" w:hint="default"/>
      </w:rPr>
    </w:lvl>
    <w:lvl w:ilvl="4">
      <w:start w:val="1"/>
      <w:numFmt w:val="bullet"/>
      <w:lvlText w:val="o"/>
      <w:lvlJc w:val="left"/>
      <w:pPr>
        <w:tabs>
          <w:tab w:val="num" w:pos="0"/>
        </w:tabs>
        <w:ind w:left="3667" w:hanging="360"/>
      </w:pPr>
      <w:rPr>
        <w:rFonts w:ascii="Courier New" w:hAnsi="Courier New" w:cs="Courier New" w:hint="default"/>
      </w:rPr>
    </w:lvl>
    <w:lvl w:ilvl="5">
      <w:start w:val="1"/>
      <w:numFmt w:val="bullet"/>
      <w:lvlText w:val=""/>
      <w:lvlJc w:val="left"/>
      <w:pPr>
        <w:tabs>
          <w:tab w:val="num" w:pos="0"/>
        </w:tabs>
        <w:ind w:left="4387" w:hanging="360"/>
      </w:pPr>
      <w:rPr>
        <w:rFonts w:ascii="Wingdings" w:hAnsi="Wingdings" w:cs="Wingdings" w:hint="default"/>
      </w:rPr>
    </w:lvl>
    <w:lvl w:ilvl="6">
      <w:start w:val="1"/>
      <w:numFmt w:val="bullet"/>
      <w:lvlText w:val=""/>
      <w:lvlJc w:val="left"/>
      <w:pPr>
        <w:tabs>
          <w:tab w:val="num" w:pos="0"/>
        </w:tabs>
        <w:ind w:left="5107" w:hanging="360"/>
      </w:pPr>
      <w:rPr>
        <w:rFonts w:ascii="Symbol" w:hAnsi="Symbol" w:cs="Symbol" w:hint="default"/>
      </w:rPr>
    </w:lvl>
    <w:lvl w:ilvl="7">
      <w:start w:val="1"/>
      <w:numFmt w:val="bullet"/>
      <w:lvlText w:val="o"/>
      <w:lvlJc w:val="left"/>
      <w:pPr>
        <w:tabs>
          <w:tab w:val="num" w:pos="0"/>
        </w:tabs>
        <w:ind w:left="5827" w:hanging="360"/>
      </w:pPr>
      <w:rPr>
        <w:rFonts w:ascii="Courier New" w:hAnsi="Courier New" w:cs="Courier New" w:hint="default"/>
      </w:rPr>
    </w:lvl>
    <w:lvl w:ilvl="8">
      <w:start w:val="1"/>
      <w:numFmt w:val="bullet"/>
      <w:lvlText w:val=""/>
      <w:lvlJc w:val="left"/>
      <w:pPr>
        <w:tabs>
          <w:tab w:val="num" w:pos="0"/>
        </w:tabs>
        <w:ind w:left="6547" w:hanging="360"/>
      </w:pPr>
      <w:rPr>
        <w:rFonts w:ascii="Wingdings" w:hAnsi="Wingdings" w:cs="Wingdings" w:hint="default"/>
      </w:rPr>
    </w:lvl>
  </w:abstractNum>
  <w:abstractNum w:abstractNumId="4" w15:restartNumberingAfterBreak="0">
    <w:nsid w:val="26FE2A7C"/>
    <w:multiLevelType w:val="multilevel"/>
    <w:tmpl w:val="4A2CF67C"/>
    <w:lvl w:ilvl="0">
      <w:start w:val="1"/>
      <w:numFmt w:val="decimal"/>
      <w:pStyle w:val="AnnexFigureCaption"/>
      <w:lvlText w:val="Figur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32261BD6"/>
    <w:multiLevelType w:val="multilevel"/>
    <w:tmpl w:val="0D5285B2"/>
    <w:lvl w:ilvl="0">
      <w:start w:val="1"/>
      <w:numFmt w:val="decimal"/>
      <w:pStyle w:val="References"/>
      <w:lvlText w:val="[%1]"/>
      <w:lvlJc w:val="left"/>
      <w:pPr>
        <w:tabs>
          <w:tab w:val="num" w:pos="567"/>
        </w:tabs>
        <w:ind w:left="567" w:hanging="567"/>
      </w:pPr>
      <w:rPr>
        <w:rFonts w:ascii="Arial" w:hAnsi="Arial"/>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35F369AE"/>
    <w:multiLevelType w:val="multilevel"/>
    <w:tmpl w:val="0A54A700"/>
    <w:lvl w:ilvl="0">
      <w:start w:val="1"/>
      <w:numFmt w:val="decimal"/>
      <w:pStyle w:val="List1"/>
      <w:lvlText w:val="%1"/>
      <w:lvlJc w:val="left"/>
      <w:pPr>
        <w:tabs>
          <w:tab w:val="num" w:pos="567"/>
        </w:tabs>
        <w:ind w:left="567" w:hanging="567"/>
      </w:pPr>
      <w:rPr>
        <w:rFonts w:ascii="Arial" w:hAnsi="Arial"/>
        <w:b w:val="0"/>
        <w:i w:val="0"/>
        <w:sz w:val="22"/>
        <w:szCs w:val="22"/>
      </w:rPr>
    </w:lvl>
    <w:lvl w:ilvl="1">
      <w:start w:val="1"/>
      <w:numFmt w:val="lowerLetter"/>
      <w:pStyle w:val="List1indent1"/>
      <w:lvlText w:val="%2."/>
      <w:lvlJc w:val="left"/>
      <w:pPr>
        <w:tabs>
          <w:tab w:val="num" w:pos="1134"/>
        </w:tabs>
        <w:ind w:left="1134" w:hanging="567"/>
      </w:pPr>
    </w:lvl>
    <w:lvl w:ilvl="2">
      <w:start w:val="1"/>
      <w:numFmt w:val="lowerRoman"/>
      <w:pStyle w:val="List1indent2"/>
      <w:lvlText w:val="%3."/>
      <w:lvlJc w:val="left"/>
      <w:pPr>
        <w:tabs>
          <w:tab w:val="num" w:pos="1701"/>
        </w:tabs>
        <w:ind w:left="1701" w:hanging="56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97B56D2"/>
    <w:multiLevelType w:val="multilevel"/>
    <w:tmpl w:val="E4DED5E6"/>
    <w:lvl w:ilvl="0">
      <w:start w:val="1"/>
      <w:numFmt w:val="decimal"/>
      <w:pStyle w:val="Furtherreading"/>
      <w:lvlText w:val="[%1]"/>
      <w:lvlJc w:val="left"/>
      <w:pPr>
        <w:tabs>
          <w:tab w:val="num" w:pos="0"/>
        </w:tabs>
        <w:ind w:left="567" w:hanging="567"/>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15:restartNumberingAfterBreak="0">
    <w:nsid w:val="3A296CF5"/>
    <w:multiLevelType w:val="multilevel"/>
    <w:tmpl w:val="60A62B38"/>
    <w:lvl w:ilvl="0">
      <w:start w:val="1"/>
      <w:numFmt w:val="decimal"/>
      <w:pStyle w:val="equation"/>
      <w:lvlText w:val="(equation %1)"/>
      <w:lvlJc w:val="right"/>
      <w:pPr>
        <w:tabs>
          <w:tab w:val="num" w:pos="0"/>
        </w:tabs>
        <w:ind w:left="8180" w:hanging="360"/>
      </w:pPr>
      <w:rPr>
        <w:rFonts w:cs="Times New Roman"/>
        <w:b w:val="0"/>
        <w:bCs w:val="0"/>
        <w:i w:val="0"/>
        <w:iCs w:val="0"/>
        <w:caps w:val="0"/>
        <w:smallCaps w:val="0"/>
        <w:strike w:val="0"/>
        <w:dstrike w:val="0"/>
        <w:vanish w:val="0"/>
        <w:color w:val="000000"/>
        <w:spacing w:val="0"/>
        <w:kern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0"/>
        </w:tabs>
        <w:ind w:left="8900" w:hanging="360"/>
      </w:pPr>
    </w:lvl>
    <w:lvl w:ilvl="2">
      <w:start w:val="1"/>
      <w:numFmt w:val="lowerRoman"/>
      <w:lvlText w:val="%3."/>
      <w:lvlJc w:val="right"/>
      <w:pPr>
        <w:tabs>
          <w:tab w:val="num" w:pos="0"/>
        </w:tabs>
        <w:ind w:left="9620" w:hanging="180"/>
      </w:pPr>
    </w:lvl>
    <w:lvl w:ilvl="3">
      <w:start w:val="1"/>
      <w:numFmt w:val="decimal"/>
      <w:lvlText w:val="%4."/>
      <w:lvlJc w:val="left"/>
      <w:pPr>
        <w:tabs>
          <w:tab w:val="num" w:pos="0"/>
        </w:tabs>
        <w:ind w:left="10340" w:hanging="360"/>
      </w:pPr>
    </w:lvl>
    <w:lvl w:ilvl="4">
      <w:start w:val="1"/>
      <w:numFmt w:val="lowerLetter"/>
      <w:lvlText w:val="%5."/>
      <w:lvlJc w:val="left"/>
      <w:pPr>
        <w:tabs>
          <w:tab w:val="num" w:pos="0"/>
        </w:tabs>
        <w:ind w:left="11060" w:hanging="360"/>
      </w:pPr>
    </w:lvl>
    <w:lvl w:ilvl="5">
      <w:start w:val="1"/>
      <w:numFmt w:val="lowerRoman"/>
      <w:lvlText w:val="%6."/>
      <w:lvlJc w:val="right"/>
      <w:pPr>
        <w:tabs>
          <w:tab w:val="num" w:pos="0"/>
        </w:tabs>
        <w:ind w:left="11780" w:hanging="180"/>
      </w:pPr>
    </w:lvl>
    <w:lvl w:ilvl="6">
      <w:start w:val="1"/>
      <w:numFmt w:val="decimal"/>
      <w:lvlText w:val="%7."/>
      <w:lvlJc w:val="left"/>
      <w:pPr>
        <w:tabs>
          <w:tab w:val="num" w:pos="0"/>
        </w:tabs>
        <w:ind w:left="12500" w:hanging="360"/>
      </w:pPr>
    </w:lvl>
    <w:lvl w:ilvl="7">
      <w:start w:val="1"/>
      <w:numFmt w:val="lowerLetter"/>
      <w:lvlText w:val="%8."/>
      <w:lvlJc w:val="left"/>
      <w:pPr>
        <w:tabs>
          <w:tab w:val="num" w:pos="0"/>
        </w:tabs>
        <w:ind w:left="13220" w:hanging="360"/>
      </w:pPr>
    </w:lvl>
    <w:lvl w:ilvl="8">
      <w:start w:val="1"/>
      <w:numFmt w:val="lowerRoman"/>
      <w:lvlText w:val="%9."/>
      <w:lvlJc w:val="right"/>
      <w:pPr>
        <w:tabs>
          <w:tab w:val="num" w:pos="0"/>
        </w:tabs>
        <w:ind w:left="13940" w:hanging="180"/>
      </w:pPr>
    </w:lvl>
  </w:abstractNum>
  <w:abstractNum w:abstractNumId="9" w15:restartNumberingAfterBreak="0">
    <w:nsid w:val="3ADC5BCD"/>
    <w:multiLevelType w:val="multilevel"/>
    <w:tmpl w:val="408A421E"/>
    <w:lvl w:ilvl="0">
      <w:start w:val="1"/>
      <w:numFmt w:val="upperLetter"/>
      <w:pStyle w:val="Annex"/>
      <w:lvlText w:val="ANNEX %1"/>
      <w:lvlJc w:val="left"/>
      <w:pPr>
        <w:tabs>
          <w:tab w:val="num" w:pos="0"/>
        </w:tabs>
        <w:ind w:left="360" w:hanging="360"/>
      </w:pPr>
      <w:rPr>
        <w:rFonts w:ascii="Times New Roman" w:hAnsi="Times New Roman" w:cs="Times New Roman"/>
        <w:b w:val="0"/>
        <w:bCs w:val="0"/>
        <w:i w:val="0"/>
        <w:iCs w:val="0"/>
        <w:caps w:val="0"/>
        <w:smallCaps w:val="0"/>
        <w:strike w:val="0"/>
        <w:dstrike w:val="0"/>
        <w:vanish w:val="0"/>
        <w:color w:val="000000"/>
        <w:spacing w:val="0"/>
        <w:w w:val="100"/>
        <w:kern w:val="0"/>
        <w:position w:val="0"/>
        <w:sz w:val="0"/>
        <w:szCs w:val="0"/>
        <w:u w:val="none" w:color="000000"/>
        <w:effect w:val="none"/>
        <w:shd w:val="clear" w:color="auto" w:fill="000000"/>
        <w:vertAlign w:val="baseline"/>
        <w:em w:val="none"/>
        <w:lang w:val="x-none" w:eastAsia="x-none" w:bidi="x-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2E6267B"/>
    <w:multiLevelType w:val="multilevel"/>
    <w:tmpl w:val="F56E3CD8"/>
    <w:lvl w:ilvl="0">
      <w:start w:val="1"/>
      <w:numFmt w:val="bullet"/>
      <w:pStyle w:val="Bullet1"/>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66D0545"/>
    <w:multiLevelType w:val="multilevel"/>
    <w:tmpl w:val="B9ACA7B8"/>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992"/>
        </w:tabs>
        <w:ind w:left="992" w:hanging="992"/>
      </w:pPr>
    </w:lvl>
    <w:lvl w:ilvl="3">
      <w:start w:val="1"/>
      <w:numFmt w:val="decimal"/>
      <w:pStyle w:val="Heading4"/>
      <w:lvlText w:val="%1.%2.%3.%4"/>
      <w:lvlJc w:val="left"/>
      <w:pPr>
        <w:tabs>
          <w:tab w:val="num" w:pos="1134"/>
        </w:tabs>
        <w:ind w:left="1134" w:hanging="113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2" w15:restartNumberingAfterBreak="0">
    <w:nsid w:val="559332A2"/>
    <w:multiLevelType w:val="hybridMultilevel"/>
    <w:tmpl w:val="714276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ACF0752"/>
    <w:multiLevelType w:val="multilevel"/>
    <w:tmpl w:val="E6E224E0"/>
    <w:lvl w:ilvl="0">
      <w:start w:val="1"/>
      <w:numFmt w:val="decimal"/>
      <w:pStyle w:val="AppendixHeading1"/>
      <w:lvlText w:val="%1"/>
      <w:lvlJc w:val="left"/>
      <w:pPr>
        <w:tabs>
          <w:tab w:val="num" w:pos="567"/>
        </w:tabs>
        <w:ind w:left="567" w:hanging="567"/>
      </w:pPr>
      <w:rPr>
        <w:rFonts w:ascii="Arial" w:hAnsi="Arial"/>
        <w:b/>
        <w:i w:val="0"/>
        <w:sz w:val="24"/>
      </w:rPr>
    </w:lvl>
    <w:lvl w:ilvl="1">
      <w:start w:val="1"/>
      <w:numFmt w:val="decimal"/>
      <w:pStyle w:val="AppendixHeading2"/>
      <w:lvlText w:val="%1.%2"/>
      <w:lvlJc w:val="left"/>
      <w:pPr>
        <w:tabs>
          <w:tab w:val="num" w:pos="851"/>
        </w:tabs>
        <w:ind w:left="851" w:hanging="851"/>
      </w:pPr>
      <w:rPr>
        <w:rFonts w:ascii="Arial" w:hAnsi="Arial"/>
        <w:b/>
        <w:i w:val="0"/>
        <w:sz w:val="22"/>
      </w:rPr>
    </w:lvl>
    <w:lvl w:ilvl="2">
      <w:start w:val="1"/>
      <w:numFmt w:val="decimal"/>
      <w:pStyle w:val="AppendixHeading3"/>
      <w:lvlText w:val="%1.%2.%3"/>
      <w:lvlJc w:val="left"/>
      <w:pPr>
        <w:tabs>
          <w:tab w:val="num" w:pos="992"/>
        </w:tabs>
        <w:ind w:left="992" w:hanging="992"/>
      </w:pPr>
      <w:rPr>
        <w:rFonts w:ascii="Arial" w:hAnsi="Arial"/>
        <w:b w:val="0"/>
        <w:i w:val="0"/>
        <w:sz w:val="22"/>
      </w:rPr>
    </w:lvl>
    <w:lvl w:ilvl="3">
      <w:start w:val="1"/>
      <w:numFmt w:val="decimal"/>
      <w:pStyle w:val="AppendixHeading4"/>
      <w:lvlText w:val="%1.%2.%3.%4"/>
      <w:lvlJc w:val="left"/>
      <w:pPr>
        <w:tabs>
          <w:tab w:val="num" w:pos="1134"/>
        </w:tabs>
        <w:ind w:left="1134" w:hanging="1134"/>
      </w:pPr>
      <w:rPr>
        <w:rFonts w:ascii="Arial" w:hAnsi="Arial"/>
        <w:b w:val="0"/>
        <w:i w:val="0"/>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5BA04F97"/>
    <w:multiLevelType w:val="multilevel"/>
    <w:tmpl w:val="343C27C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65703F2E"/>
    <w:multiLevelType w:val="multilevel"/>
    <w:tmpl w:val="277E96DC"/>
    <w:lvl w:ilvl="0">
      <w:start w:val="1"/>
      <w:numFmt w:val="decimal"/>
      <w:pStyle w:val="Figure"/>
      <w:lvlText w:val="Figure %1"/>
      <w:lvlJc w:val="left"/>
      <w:pPr>
        <w:tabs>
          <w:tab w:val="num" w:pos="1134"/>
        </w:tabs>
        <w:ind w:left="1134" w:hanging="1134"/>
      </w:pPr>
      <w:rPr>
        <w:rFonts w:ascii="Arial" w:hAnsi="Arial"/>
        <w:b w:val="0"/>
        <w:i/>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67161130"/>
    <w:multiLevelType w:val="multilevel"/>
    <w:tmpl w:val="012064E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15:restartNumberingAfterBreak="0">
    <w:nsid w:val="68792547"/>
    <w:multiLevelType w:val="multilevel"/>
    <w:tmpl w:val="774AB8AA"/>
    <w:lvl w:ilvl="0">
      <w:start w:val="1"/>
      <w:numFmt w:val="bullet"/>
      <w:pStyle w:val="Bullet3"/>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6BCF2624"/>
    <w:multiLevelType w:val="multilevel"/>
    <w:tmpl w:val="E140E4A4"/>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D09530A"/>
    <w:multiLevelType w:val="multilevel"/>
    <w:tmpl w:val="CB8C66E4"/>
    <w:lvl w:ilvl="0">
      <w:start w:val="1"/>
      <w:numFmt w:val="decimal"/>
      <w:pStyle w:val="Equation1"/>
      <w:lvlText w:val="(%1)"/>
      <w:lvlJc w:val="left"/>
      <w:pPr>
        <w:tabs>
          <w:tab w:val="num" w:pos="0"/>
        </w:tabs>
        <w:ind w:left="360" w:hanging="360"/>
      </w:pPr>
      <w:rPr>
        <w:b w:val="0"/>
        <w:i w:val="0"/>
        <w:sz w:val="22"/>
        <w:u w:val="none"/>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0" w15:restartNumberingAfterBreak="0">
    <w:nsid w:val="6EBF62CC"/>
    <w:multiLevelType w:val="multilevel"/>
    <w:tmpl w:val="ED36DF52"/>
    <w:lvl w:ilvl="0">
      <w:start w:val="1"/>
      <w:numFmt w:val="decimal"/>
      <w:pStyle w:val="AnnexTable"/>
      <w:lvlText w:val="Table %1"/>
      <w:lvlJc w:val="left"/>
      <w:pPr>
        <w:tabs>
          <w:tab w:val="num" w:pos="1134"/>
        </w:tabs>
        <w:ind w:left="1134" w:hanging="1134"/>
      </w:pPr>
      <w:rPr>
        <w:rFonts w:ascii="Arial" w:hAnsi="Arial"/>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ECC5AE4"/>
    <w:multiLevelType w:val="multilevel"/>
    <w:tmpl w:val="6E44828E"/>
    <w:lvl w:ilvl="0">
      <w:start w:val="1"/>
      <w:numFmt w:val="bullet"/>
      <w:pStyle w:val="Tableinsetlist"/>
      <w:lvlText w:val=""/>
      <w:lvlJc w:val="left"/>
      <w:pPr>
        <w:tabs>
          <w:tab w:val="num" w:pos="0"/>
        </w:tabs>
        <w:ind w:left="397" w:hanging="284"/>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74786B91"/>
    <w:multiLevelType w:val="multilevel"/>
    <w:tmpl w:val="DB4C96EE"/>
    <w:lvl w:ilvl="0">
      <w:start w:val="1"/>
      <w:numFmt w:val="decimal"/>
      <w:pStyle w:val="AnnexHeading1"/>
      <w:lvlText w:val="%1"/>
      <w:lvlJc w:val="left"/>
      <w:pPr>
        <w:tabs>
          <w:tab w:val="num" w:pos="567"/>
        </w:tabs>
        <w:ind w:left="567" w:hanging="567"/>
      </w:pPr>
      <w:rPr>
        <w:rFonts w:ascii="Arial Bold" w:hAnsi="Arial Bold"/>
        <w:b/>
        <w:i w:val="0"/>
        <w:sz w:val="24"/>
      </w:rPr>
    </w:lvl>
    <w:lvl w:ilvl="1">
      <w:start w:val="1"/>
      <w:numFmt w:val="decimal"/>
      <w:pStyle w:val="AnnexHeading2"/>
      <w:lvlText w:val="%1.%2"/>
      <w:lvlJc w:val="left"/>
      <w:pPr>
        <w:tabs>
          <w:tab w:val="num" w:pos="851"/>
        </w:tabs>
        <w:ind w:left="851" w:hanging="851"/>
      </w:pPr>
      <w:rPr>
        <w:rFonts w:ascii="Arial Bold" w:hAnsi="Arial Bold"/>
        <w:b/>
        <w:i w:val="0"/>
        <w:sz w:val="22"/>
      </w:rPr>
    </w:lvl>
    <w:lvl w:ilvl="2">
      <w:start w:val="1"/>
      <w:numFmt w:val="decimal"/>
      <w:pStyle w:val="AnnexHeading3"/>
      <w:lvlText w:val="%2.%3.%1"/>
      <w:lvlJc w:val="left"/>
      <w:pPr>
        <w:tabs>
          <w:tab w:val="num" w:pos="992"/>
        </w:tabs>
        <w:ind w:left="992" w:hanging="992"/>
      </w:pPr>
      <w:rPr>
        <w:rFonts w:ascii="Arial" w:hAnsi="Arial"/>
        <w:b w:val="0"/>
        <w:i w:val="0"/>
        <w:sz w:val="22"/>
      </w:rPr>
    </w:lvl>
    <w:lvl w:ilvl="3">
      <w:start w:val="1"/>
      <w:numFmt w:val="decimal"/>
      <w:pStyle w:val="AnnexHeading4"/>
      <w:lvlText w:val="%1.%2.%3.%4"/>
      <w:lvlJc w:val="left"/>
      <w:pPr>
        <w:tabs>
          <w:tab w:val="num" w:pos="1134"/>
        </w:tabs>
        <w:ind w:left="1134" w:hanging="1134"/>
      </w:pPr>
      <w:rPr>
        <w:rFonts w:ascii="Arial" w:hAnsi="Arial"/>
        <w:b w:val="0"/>
        <w:i w:val="0"/>
        <w:sz w:val="22"/>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3" w15:restartNumberingAfterBreak="0">
    <w:nsid w:val="7D893736"/>
    <w:multiLevelType w:val="multilevel"/>
    <w:tmpl w:val="91225EF2"/>
    <w:lvl w:ilvl="0">
      <w:start w:val="1"/>
      <w:numFmt w:val="bullet"/>
      <w:pStyle w:val="Bullet2"/>
      <w:lvlText w:val="-"/>
      <w:lvlJc w:val="left"/>
      <w:pPr>
        <w:tabs>
          <w:tab w:val="num" w:pos="0"/>
        </w:tabs>
        <w:ind w:left="2421" w:hanging="360"/>
      </w:pPr>
      <w:rPr>
        <w:rFonts w:ascii="Arial" w:hAnsi="Arial" w:cs="Arial" w:hint="default"/>
      </w:rPr>
    </w:lvl>
    <w:lvl w:ilvl="1">
      <w:start w:val="1"/>
      <w:numFmt w:val="bullet"/>
      <w:lvlText w:val="o"/>
      <w:lvlJc w:val="left"/>
      <w:pPr>
        <w:tabs>
          <w:tab w:val="num" w:pos="0"/>
        </w:tabs>
        <w:ind w:left="3141" w:hanging="360"/>
      </w:pPr>
      <w:rPr>
        <w:rFonts w:ascii="Courier New" w:hAnsi="Courier New" w:cs="Courier New" w:hint="default"/>
      </w:rPr>
    </w:lvl>
    <w:lvl w:ilvl="2">
      <w:start w:val="1"/>
      <w:numFmt w:val="bullet"/>
      <w:lvlText w:val=""/>
      <w:lvlJc w:val="left"/>
      <w:pPr>
        <w:tabs>
          <w:tab w:val="num" w:pos="0"/>
        </w:tabs>
        <w:ind w:left="3861" w:hanging="360"/>
      </w:pPr>
      <w:rPr>
        <w:rFonts w:ascii="Wingdings" w:hAnsi="Wingdings" w:cs="Wingdings" w:hint="default"/>
      </w:rPr>
    </w:lvl>
    <w:lvl w:ilvl="3">
      <w:start w:val="1"/>
      <w:numFmt w:val="bullet"/>
      <w:lvlText w:val=""/>
      <w:lvlJc w:val="left"/>
      <w:pPr>
        <w:tabs>
          <w:tab w:val="num" w:pos="0"/>
        </w:tabs>
        <w:ind w:left="4581" w:hanging="360"/>
      </w:pPr>
      <w:rPr>
        <w:rFonts w:ascii="Symbol" w:hAnsi="Symbol" w:cs="Symbol" w:hint="default"/>
      </w:rPr>
    </w:lvl>
    <w:lvl w:ilvl="4">
      <w:start w:val="1"/>
      <w:numFmt w:val="bullet"/>
      <w:lvlText w:val="o"/>
      <w:lvlJc w:val="left"/>
      <w:pPr>
        <w:tabs>
          <w:tab w:val="num" w:pos="0"/>
        </w:tabs>
        <w:ind w:left="5301" w:hanging="360"/>
      </w:pPr>
      <w:rPr>
        <w:rFonts w:ascii="Courier New" w:hAnsi="Courier New" w:cs="Courier New" w:hint="default"/>
      </w:rPr>
    </w:lvl>
    <w:lvl w:ilvl="5">
      <w:start w:val="1"/>
      <w:numFmt w:val="bullet"/>
      <w:lvlText w:val=""/>
      <w:lvlJc w:val="left"/>
      <w:pPr>
        <w:tabs>
          <w:tab w:val="num" w:pos="0"/>
        </w:tabs>
        <w:ind w:left="6021" w:hanging="360"/>
      </w:pPr>
      <w:rPr>
        <w:rFonts w:ascii="Wingdings" w:hAnsi="Wingdings" w:cs="Wingdings" w:hint="default"/>
      </w:rPr>
    </w:lvl>
    <w:lvl w:ilvl="6">
      <w:start w:val="1"/>
      <w:numFmt w:val="bullet"/>
      <w:lvlText w:val=""/>
      <w:lvlJc w:val="left"/>
      <w:pPr>
        <w:tabs>
          <w:tab w:val="num" w:pos="0"/>
        </w:tabs>
        <w:ind w:left="6741" w:hanging="360"/>
      </w:pPr>
      <w:rPr>
        <w:rFonts w:ascii="Symbol" w:hAnsi="Symbol" w:cs="Symbol" w:hint="default"/>
      </w:rPr>
    </w:lvl>
    <w:lvl w:ilvl="7">
      <w:start w:val="1"/>
      <w:numFmt w:val="bullet"/>
      <w:lvlText w:val="o"/>
      <w:lvlJc w:val="left"/>
      <w:pPr>
        <w:tabs>
          <w:tab w:val="num" w:pos="0"/>
        </w:tabs>
        <w:ind w:left="7461" w:hanging="360"/>
      </w:pPr>
      <w:rPr>
        <w:rFonts w:ascii="Courier New" w:hAnsi="Courier New" w:cs="Courier New" w:hint="default"/>
      </w:rPr>
    </w:lvl>
    <w:lvl w:ilvl="8">
      <w:start w:val="1"/>
      <w:numFmt w:val="bullet"/>
      <w:lvlText w:val=""/>
      <w:lvlJc w:val="left"/>
      <w:pPr>
        <w:tabs>
          <w:tab w:val="num" w:pos="0"/>
        </w:tabs>
        <w:ind w:left="8181" w:hanging="360"/>
      </w:pPr>
      <w:rPr>
        <w:rFonts w:ascii="Wingdings" w:hAnsi="Wingdings" w:cs="Wingdings" w:hint="default"/>
      </w:rPr>
    </w:lvl>
  </w:abstractNum>
  <w:num w:numId="1" w16cid:durableId="2146925314">
    <w:abstractNumId w:val="11"/>
  </w:num>
  <w:num w:numId="2" w16cid:durableId="605575306">
    <w:abstractNumId w:val="9"/>
  </w:num>
  <w:num w:numId="3" w16cid:durableId="193270109">
    <w:abstractNumId w:val="2"/>
  </w:num>
  <w:num w:numId="4" w16cid:durableId="889923259">
    <w:abstractNumId w:val="22"/>
  </w:num>
  <w:num w:numId="5" w16cid:durableId="1376390772">
    <w:abstractNumId w:val="20"/>
  </w:num>
  <w:num w:numId="6" w16cid:durableId="1155683661">
    <w:abstractNumId w:val="13"/>
  </w:num>
  <w:num w:numId="7" w16cid:durableId="1434862943">
    <w:abstractNumId w:val="10"/>
  </w:num>
  <w:num w:numId="8" w16cid:durableId="1599559752">
    <w:abstractNumId w:val="23"/>
  </w:num>
  <w:num w:numId="9" w16cid:durableId="29184352">
    <w:abstractNumId w:val="15"/>
  </w:num>
  <w:num w:numId="10" w16cid:durableId="1229729609">
    <w:abstractNumId w:val="5"/>
  </w:num>
  <w:num w:numId="11" w16cid:durableId="454756779">
    <w:abstractNumId w:val="18"/>
  </w:num>
  <w:num w:numId="12" w16cid:durableId="1671367297">
    <w:abstractNumId w:val="6"/>
  </w:num>
  <w:num w:numId="13" w16cid:durableId="2051954505">
    <w:abstractNumId w:val="8"/>
  </w:num>
  <w:num w:numId="14" w16cid:durableId="1335574580">
    <w:abstractNumId w:val="17"/>
  </w:num>
  <w:num w:numId="15" w16cid:durableId="1730415745">
    <w:abstractNumId w:val="1"/>
  </w:num>
  <w:num w:numId="16" w16cid:durableId="486098045">
    <w:abstractNumId w:val="21"/>
  </w:num>
  <w:num w:numId="17" w16cid:durableId="1615550824">
    <w:abstractNumId w:val="19"/>
  </w:num>
  <w:num w:numId="18" w16cid:durableId="1780181528">
    <w:abstractNumId w:val="7"/>
  </w:num>
  <w:num w:numId="19" w16cid:durableId="1984431682">
    <w:abstractNumId w:val="4"/>
  </w:num>
  <w:num w:numId="20" w16cid:durableId="1697077520">
    <w:abstractNumId w:val="0"/>
  </w:num>
  <w:num w:numId="21" w16cid:durableId="612172774">
    <w:abstractNumId w:val="3"/>
  </w:num>
  <w:num w:numId="22" w16cid:durableId="2046783389">
    <w:abstractNumId w:val="16"/>
  </w:num>
  <w:num w:numId="23" w16cid:durableId="829255395">
    <w:abstractNumId w:val="14"/>
  </w:num>
  <w:num w:numId="24" w16cid:durableId="76607749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98E"/>
    <w:rsid w:val="00016C21"/>
    <w:rsid w:val="001D639C"/>
    <w:rsid w:val="006D098E"/>
    <w:rsid w:val="007558BE"/>
    <w:rsid w:val="00A540F2"/>
    <w:rsid w:val="00C253A9"/>
    <w:rsid w:val="00D97A14"/>
    <w:rsid w:val="00E33C42"/>
    <w:rsid w:val="00EA0F24"/>
    <w:rsid w:val="00FE196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D63570"/>
  <w15:docId w15:val="{1072C6E9-14F1-4434-B429-014DD1EED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
      </w:numPr>
      <w:spacing w:before="240" w:after="240"/>
      <w:outlineLvl w:val="0"/>
    </w:pPr>
    <w:rPr>
      <w:rFonts w:ascii="Calibri" w:hAnsi="Calibri"/>
      <w:b/>
      <w:caps/>
      <w:color w:val="0070C0"/>
      <w:kern w:val="2"/>
      <w:sz w:val="24"/>
      <w:lang w:eastAsia="de-DE"/>
    </w:rPr>
  </w:style>
  <w:style w:type="paragraph" w:styleId="Heading2">
    <w:name w:val="heading 2"/>
    <w:basedOn w:val="Normal"/>
    <w:next w:val="BodyText"/>
    <w:link w:val="Heading2Char"/>
    <w:qFormat/>
    <w:rsid w:val="00605E43"/>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D332B3"/>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D332B3"/>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D332B3"/>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qFormat/>
    <w:rsid w:val="00605E43"/>
    <w:rPr>
      <w:rFonts w:cs="Calibri"/>
      <w:b/>
      <w:caps/>
      <w:color w:val="0070C0"/>
      <w:kern w:val="2"/>
      <w:sz w:val="24"/>
      <w:szCs w:val="22"/>
      <w:lang w:eastAsia="de-DE"/>
    </w:rPr>
  </w:style>
  <w:style w:type="character" w:customStyle="1" w:styleId="Heading2Char">
    <w:name w:val="Heading 2 Char"/>
    <w:link w:val="Heading2"/>
    <w:qFormat/>
    <w:rsid w:val="00605E43"/>
    <w:rPr>
      <w:rFonts w:cs="Calibri"/>
      <w:b/>
      <w:color w:val="0070C0"/>
      <w:sz w:val="24"/>
      <w:szCs w:val="24"/>
    </w:rPr>
  </w:style>
  <w:style w:type="character" w:customStyle="1" w:styleId="BodyTextChar">
    <w:name w:val="Body Text Char"/>
    <w:link w:val="BodyText"/>
    <w:qFormat/>
    <w:rsid w:val="00E00BE9"/>
    <w:rPr>
      <w:rFonts w:ascii="Arial" w:hAnsi="Arial" w:cs="Times New Roman"/>
      <w:szCs w:val="24"/>
    </w:rPr>
  </w:style>
  <w:style w:type="character" w:customStyle="1" w:styleId="FooterChar">
    <w:name w:val="Footer Char"/>
    <w:link w:val="Footer"/>
    <w:qFormat/>
    <w:rsid w:val="00084F33"/>
    <w:rPr>
      <w:rFonts w:ascii="Arial" w:hAnsi="Arial" w:cs="Times New Roman"/>
      <w:szCs w:val="24"/>
    </w:rPr>
  </w:style>
  <w:style w:type="character" w:customStyle="1" w:styleId="HeaderChar">
    <w:name w:val="Header Char"/>
    <w:link w:val="Header"/>
    <w:qFormat/>
    <w:rsid w:val="005C566C"/>
    <w:rPr>
      <w:rFonts w:ascii="Arial" w:eastAsia="Calibri" w:hAnsi="Arial" w:cs="Times New Roman"/>
      <w:szCs w:val="24"/>
      <w:lang w:eastAsia="en-GB"/>
    </w:rPr>
  </w:style>
  <w:style w:type="character" w:customStyle="1" w:styleId="Heading3Char">
    <w:name w:val="Heading 3 Char"/>
    <w:link w:val="Heading3"/>
    <w:qFormat/>
    <w:rsid w:val="00E00BE9"/>
    <w:rPr>
      <w:rFonts w:ascii="Arial" w:hAnsi="Arial" w:cs="Calibri"/>
      <w:sz w:val="22"/>
      <w:lang w:eastAsia="de-DE"/>
    </w:rPr>
  </w:style>
  <w:style w:type="character" w:customStyle="1" w:styleId="Heading4Char">
    <w:name w:val="Heading 4 Char"/>
    <w:link w:val="Heading4"/>
    <w:qFormat/>
    <w:rsid w:val="00E00BE9"/>
    <w:rPr>
      <w:rFonts w:ascii="Arial" w:hAnsi="Arial" w:cs="Calibri"/>
      <w:sz w:val="22"/>
      <w:lang w:val="en-US" w:eastAsia="de-DE"/>
    </w:rPr>
  </w:style>
  <w:style w:type="character" w:customStyle="1" w:styleId="Heading5Char">
    <w:name w:val="Heading 5 Char"/>
    <w:link w:val="Heading5"/>
    <w:qFormat/>
    <w:rsid w:val="00D332B3"/>
    <w:rPr>
      <w:rFonts w:ascii="Arial" w:eastAsia="Times New Roman" w:hAnsi="Arial"/>
      <w:sz w:val="22"/>
      <w:lang w:val="de-DE" w:eastAsia="de-DE"/>
    </w:rPr>
  </w:style>
  <w:style w:type="character" w:customStyle="1" w:styleId="Heading6Char">
    <w:name w:val="Heading 6 Char"/>
    <w:link w:val="Heading6"/>
    <w:qFormat/>
    <w:rsid w:val="00E00BE9"/>
    <w:rPr>
      <w:rFonts w:ascii="Arial" w:hAnsi="Arial" w:cs="Calibri"/>
      <w:sz w:val="22"/>
      <w:lang w:val="de-DE" w:eastAsia="de-DE"/>
    </w:rPr>
  </w:style>
  <w:style w:type="character" w:customStyle="1" w:styleId="Heading7Char">
    <w:name w:val="Heading 7 Char"/>
    <w:link w:val="Heading7"/>
    <w:qFormat/>
    <w:rsid w:val="00E00BE9"/>
    <w:rPr>
      <w:rFonts w:ascii="Arial" w:hAnsi="Arial" w:cs="Calibri"/>
      <w:sz w:val="22"/>
      <w:lang w:val="de-DE" w:eastAsia="de-DE"/>
    </w:rPr>
  </w:style>
  <w:style w:type="character" w:customStyle="1" w:styleId="Heading8Char">
    <w:name w:val="Heading 8 Char"/>
    <w:link w:val="Heading8"/>
    <w:qFormat/>
    <w:rsid w:val="00E00BE9"/>
    <w:rPr>
      <w:rFonts w:ascii="Arial" w:hAnsi="Arial" w:cs="Calibri"/>
      <w:sz w:val="22"/>
      <w:lang w:val="de-DE" w:eastAsia="de-DE"/>
    </w:rPr>
  </w:style>
  <w:style w:type="character" w:customStyle="1" w:styleId="Heading9Char">
    <w:name w:val="Heading 9 Char"/>
    <w:link w:val="Heading9"/>
    <w:qFormat/>
    <w:rsid w:val="00E00BE9"/>
    <w:rPr>
      <w:rFonts w:ascii="Arial" w:hAnsi="Arial" w:cs="Calibri"/>
      <w:sz w:val="22"/>
      <w:lang w:val="de-DE" w:eastAsia="de-DE"/>
    </w:rPr>
  </w:style>
  <w:style w:type="character" w:styleId="Hyperlink">
    <w:name w:val="Hyperlink"/>
    <w:uiPriority w:val="99"/>
    <w:rsid w:val="00FC0EB3"/>
    <w:rPr>
      <w:strike w:val="0"/>
      <w:dstrike w:val="0"/>
      <w:position w:val="0"/>
      <w:sz w:val="20"/>
      <w:vertAlign w:val="baseline"/>
    </w:rPr>
  </w:style>
  <w:style w:type="character" w:styleId="PageNumber">
    <w:name w:val="page number"/>
    <w:basedOn w:val="DefaultParagraphFont"/>
    <w:rsid w:val="008D1694"/>
  </w:style>
  <w:style w:type="character" w:customStyle="1" w:styleId="BodyTextIndentChar">
    <w:name w:val="Body Text Indent Char"/>
    <w:link w:val="BodyTextIndent"/>
    <w:qFormat/>
    <w:rsid w:val="00243228"/>
    <w:rPr>
      <w:rFonts w:ascii="Arial" w:hAnsi="Arial" w:cs="Times New Roman"/>
      <w:szCs w:val="24"/>
    </w:rPr>
  </w:style>
  <w:style w:type="character" w:customStyle="1" w:styleId="BodyTextIndent2Char">
    <w:name w:val="Body Text Indent 2 Char"/>
    <w:link w:val="BodyTextIndent2"/>
    <w:qFormat/>
    <w:rsid w:val="00243228"/>
    <w:rPr>
      <w:rFonts w:ascii="Arial" w:hAnsi="Arial" w:cs="Times New Roman"/>
      <w:szCs w:val="24"/>
      <w:lang w:eastAsia="de-DE"/>
    </w:rPr>
  </w:style>
  <w:style w:type="character" w:customStyle="1" w:styleId="FootnoteCharactersuser">
    <w:name w:val="Footnote Characters (user)"/>
    <w:semiHidden/>
    <w:qFormat/>
    <w:rsid w:val="008D1694"/>
    <w:rPr>
      <w:rFonts w:ascii="Arial" w:hAnsi="Arial"/>
      <w:sz w:val="16"/>
    </w:rPr>
  </w:style>
  <w:style w:type="character" w:customStyle="1" w:styleId="FootnoteCharacters">
    <w:name w:val="Footnote Characters"/>
    <w:qFormat/>
    <w:rPr>
      <w:rFonts w:ascii="Arial" w:hAnsi="Arial"/>
      <w:sz w:val="16"/>
      <w:vertAlign w:val="superscript"/>
    </w:rPr>
  </w:style>
  <w:style w:type="character" w:styleId="FootnoteReference">
    <w:name w:val="footnote reference"/>
    <w:rPr>
      <w:rFonts w:ascii="Arial" w:hAnsi="Arial"/>
      <w:sz w:val="16"/>
      <w:vertAlign w:val="superscript"/>
    </w:rPr>
  </w:style>
  <w:style w:type="character" w:customStyle="1" w:styleId="FootnoteTextChar">
    <w:name w:val="Footnote Text Char"/>
    <w:link w:val="FootnoteText"/>
    <w:semiHidden/>
    <w:qFormat/>
    <w:rsid w:val="00243228"/>
    <w:rPr>
      <w:rFonts w:ascii="Arial" w:hAnsi="Arial" w:cs="Times New Roman"/>
      <w:sz w:val="20"/>
      <w:szCs w:val="20"/>
    </w:rPr>
  </w:style>
  <w:style w:type="character" w:customStyle="1" w:styleId="SubtitleChar">
    <w:name w:val="Subtitle Char"/>
    <w:link w:val="Subtitle"/>
    <w:qFormat/>
    <w:rsid w:val="00243228"/>
    <w:rPr>
      <w:rFonts w:ascii="Arial" w:hAnsi="Arial" w:cs="Arial"/>
      <w:szCs w:val="24"/>
    </w:rPr>
  </w:style>
  <w:style w:type="character" w:customStyle="1" w:styleId="TitleChar">
    <w:name w:val="Title Char"/>
    <w:link w:val="Title"/>
    <w:qFormat/>
    <w:rsid w:val="00943E9C"/>
    <w:rPr>
      <w:rFonts w:ascii="Arial" w:hAnsi="Arial" w:cs="Arial"/>
      <w:b/>
      <w:bCs/>
      <w:kern w:val="2"/>
      <w:sz w:val="32"/>
      <w:szCs w:val="32"/>
    </w:rPr>
  </w:style>
  <w:style w:type="character" w:customStyle="1" w:styleId="BalloonTextChar">
    <w:name w:val="Balloon Text Char"/>
    <w:basedOn w:val="DefaultParagraphFont"/>
    <w:link w:val="BalloonText"/>
    <w:uiPriority w:val="99"/>
    <w:semiHidden/>
    <w:qFormat/>
    <w:rsid w:val="008A356F"/>
    <w:rPr>
      <w:rFonts w:ascii="Tahoma" w:hAnsi="Tahoma" w:cs="Tahoma"/>
      <w:sz w:val="16"/>
      <w:szCs w:val="16"/>
    </w:rPr>
  </w:style>
  <w:style w:type="character" w:styleId="CommentReference">
    <w:name w:val="annotation reference"/>
    <w:basedOn w:val="DefaultParagraphFont"/>
    <w:uiPriority w:val="99"/>
    <w:semiHidden/>
    <w:unhideWhenUsed/>
    <w:qFormat/>
    <w:rsid w:val="00EA5A97"/>
    <w:rPr>
      <w:sz w:val="16"/>
      <w:szCs w:val="16"/>
    </w:rPr>
  </w:style>
  <w:style w:type="character" w:customStyle="1" w:styleId="CommentTextChar">
    <w:name w:val="Comment Text Char"/>
    <w:basedOn w:val="DefaultParagraphFont"/>
    <w:link w:val="CommentText"/>
    <w:uiPriority w:val="99"/>
    <w:qFormat/>
    <w:rsid w:val="00EA5A97"/>
    <w:rPr>
      <w:rFonts w:ascii="Arial" w:hAnsi="Arial" w:cs="Calibri"/>
    </w:rPr>
  </w:style>
  <w:style w:type="character" w:customStyle="1" w:styleId="CommentSubjectChar">
    <w:name w:val="Comment Subject Char"/>
    <w:basedOn w:val="CommentTextChar"/>
    <w:link w:val="CommentSubject"/>
    <w:uiPriority w:val="99"/>
    <w:semiHidden/>
    <w:qFormat/>
    <w:rsid w:val="00EA5A97"/>
    <w:rPr>
      <w:rFonts w:ascii="Arial" w:hAnsi="Arial" w:cs="Calibri"/>
      <w:b/>
      <w:bCs/>
    </w:rPr>
  </w:style>
  <w:style w:type="character" w:customStyle="1" w:styleId="AnnexChar">
    <w:name w:val="Annex Char"/>
    <w:basedOn w:val="DefaultParagraphFont"/>
    <w:link w:val="Annex"/>
    <w:qFormat/>
    <w:rsid w:val="00A278ED"/>
    <w:rPr>
      <w:rFonts w:cs="Calibri"/>
      <w:b/>
      <w:caps/>
      <w:color w:val="0070C0"/>
      <w:sz w:val="24"/>
      <w:szCs w:val="22"/>
    </w:rPr>
  </w:style>
  <w:style w:type="character" w:customStyle="1" w:styleId="MRNChar">
    <w:name w:val="MRN Char"/>
    <w:basedOn w:val="DefaultParagraphFont"/>
    <w:link w:val="MRN"/>
    <w:qFormat/>
    <w:rsid w:val="00A278ED"/>
    <w:rPr>
      <w:rFonts w:asciiTheme="minorHAnsi" w:eastAsiaTheme="minorHAnsi" w:hAnsiTheme="minorHAnsi" w:cstheme="minorBidi"/>
      <w:b/>
      <w:color w:val="00558C"/>
      <w:sz w:val="28"/>
      <w:szCs w:val="22"/>
      <w:lang w:eastAsia="en-US"/>
    </w:rPr>
  </w:style>
  <w:style w:type="character" w:customStyle="1" w:styleId="EquationChar">
    <w:name w:val="Equation Char"/>
    <w:basedOn w:val="BodyTextChar"/>
    <w:link w:val="Equation1"/>
    <w:qFormat/>
    <w:rsid w:val="00A278ED"/>
    <w:rPr>
      <w:rFonts w:asciiTheme="minorHAnsi" w:eastAsiaTheme="minorHAnsi" w:hAnsiTheme="minorHAnsi" w:cstheme="minorBidi"/>
      <w:sz w:val="22"/>
      <w:szCs w:val="22"/>
      <w:lang w:eastAsia="en-US"/>
    </w:rPr>
  </w:style>
  <w:style w:type="character" w:customStyle="1" w:styleId="FurtherreadingChar">
    <w:name w:val="Further reading Char"/>
    <w:basedOn w:val="BodyTextChar"/>
    <w:link w:val="Furtherreading"/>
    <w:qFormat/>
    <w:rsid w:val="00A278ED"/>
    <w:rPr>
      <w:rFonts w:asciiTheme="minorHAnsi" w:eastAsiaTheme="minorHAnsi" w:hAnsiTheme="minorHAnsi" w:cstheme="minorBidi"/>
      <w:sz w:val="22"/>
      <w:szCs w:val="22"/>
      <w:lang w:eastAsia="en-US"/>
    </w:rPr>
  </w:style>
  <w:style w:type="character" w:customStyle="1" w:styleId="AnnexFigureCaptionChar">
    <w:name w:val="Annex Figure Caption Char"/>
    <w:basedOn w:val="BodyTextChar"/>
    <w:link w:val="AnnexFigureCaption"/>
    <w:qFormat/>
    <w:rsid w:val="00A278ED"/>
    <w:rPr>
      <w:rFonts w:asciiTheme="minorHAnsi" w:eastAsiaTheme="minorHAnsi" w:hAnsiTheme="minorHAnsi" w:cstheme="minorBidi"/>
      <w:i/>
      <w:color w:val="00558C"/>
      <w:sz w:val="22"/>
      <w:szCs w:val="22"/>
    </w:rPr>
  </w:style>
  <w:style w:type="character" w:customStyle="1" w:styleId="Bulletsuser">
    <w:name w:val="Bullets (user)"/>
    <w:qFormat/>
    <w:rPr>
      <w:rFonts w:ascii="OpenSymbol" w:eastAsia="OpenSymbol" w:hAnsi="OpenSymbol" w:cs="OpenSymbol"/>
    </w:rPr>
  </w:style>
  <w:style w:type="character" w:customStyle="1" w:styleId="Bullets">
    <w:name w:val="Bullets"/>
    <w:qFormat/>
    <w:rPr>
      <w:rFonts w:ascii="OpenSymbol" w:eastAsia="OpenSymbol" w:hAnsi="OpenSymbol" w:cs="OpenSymbol"/>
    </w:rPr>
  </w:style>
  <w:style w:type="character" w:styleId="FollowedHyperlink">
    <w:name w:val="FollowedHyperlink"/>
    <w:basedOn w:val="DefaultParagraphFont"/>
    <w:rPr>
      <w:color w:val="800080" w:themeColor="followedHyperlink"/>
      <w:u w:val="single"/>
    </w:rPr>
  </w:style>
  <w:style w:type="character" w:styleId="Strong">
    <w:name w:val="Strong"/>
    <w:basedOn w:val="DefaultParagraphFont"/>
    <w:qFormat/>
    <w:rPr>
      <w:b/>
      <w:bCs/>
    </w:rPr>
  </w:style>
  <w:style w:type="character" w:styleId="EndnoteReference">
    <w:name w:val="endnote reference"/>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Arial Unicode MS" w:hAnsi="Liberation Sans" w:cs="Arial Unicode MS"/>
      <w:sz w:val="28"/>
      <w:szCs w:val="28"/>
    </w:rPr>
  </w:style>
  <w:style w:type="paragraph" w:styleId="BodyText">
    <w:name w:val="Body Text"/>
    <w:basedOn w:val="Normal"/>
    <w:link w:val="BodyTextChar"/>
    <w:qFormat/>
    <w:rsid w:val="008D1694"/>
    <w:pPr>
      <w:spacing w:after="120"/>
      <w:jc w:val="both"/>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customStyle="1" w:styleId="Annex">
    <w:name w:val="Annex"/>
    <w:basedOn w:val="Heading1"/>
    <w:next w:val="Normal"/>
    <w:link w:val="AnnexChar"/>
    <w:qFormat/>
    <w:rsid w:val="007A395D"/>
    <w:pPr>
      <w:numPr>
        <w:numId w:val="2"/>
      </w:numPr>
      <w:tabs>
        <w:tab w:val="left" w:pos="1701"/>
      </w:tabs>
      <w:jc w:val="both"/>
    </w:pPr>
    <w:rPr>
      <w:kern w:val="0"/>
      <w:lang w:eastAsia="en-GB"/>
    </w:rPr>
  </w:style>
  <w:style w:type="paragraph" w:customStyle="1" w:styleId="AnnexFigure">
    <w:name w:val="Annex Figure"/>
    <w:basedOn w:val="Normal"/>
    <w:next w:val="Normal"/>
    <w:qFormat/>
    <w:rsid w:val="008D1694"/>
    <w:pPr>
      <w:numPr>
        <w:numId w:val="3"/>
      </w:numPr>
      <w:spacing w:before="120" w:after="120"/>
      <w:jc w:val="center"/>
    </w:pPr>
    <w:rPr>
      <w:i/>
    </w:rPr>
  </w:style>
  <w:style w:type="paragraph" w:customStyle="1" w:styleId="AnnexHeading1">
    <w:name w:val="Annex Heading 1"/>
    <w:basedOn w:val="Normal"/>
    <w:next w:val="BodyText"/>
    <w:qFormat/>
    <w:rsid w:val="008D1694"/>
    <w:pPr>
      <w:numPr>
        <w:numId w:val="4"/>
      </w:numPr>
      <w:spacing w:before="120" w:after="120"/>
    </w:pPr>
    <w:rPr>
      <w:rFonts w:cs="Arial"/>
      <w:b/>
      <w:caps/>
      <w:sz w:val="24"/>
    </w:rPr>
  </w:style>
  <w:style w:type="paragraph" w:customStyle="1" w:styleId="AnnexHeading2">
    <w:name w:val="Annex Heading 2"/>
    <w:basedOn w:val="Normal"/>
    <w:next w:val="BodyText"/>
    <w:qFormat/>
    <w:rsid w:val="008D1694"/>
    <w:pPr>
      <w:numPr>
        <w:ilvl w:val="1"/>
        <w:numId w:val="4"/>
      </w:numPr>
      <w:spacing w:before="120" w:after="120"/>
    </w:pPr>
    <w:rPr>
      <w:rFonts w:cs="Arial"/>
      <w:b/>
    </w:rPr>
  </w:style>
  <w:style w:type="paragraph" w:customStyle="1" w:styleId="AnnexHeading3">
    <w:name w:val="Annex Heading 3"/>
    <w:basedOn w:val="Normal"/>
    <w:next w:val="Normal"/>
    <w:qFormat/>
    <w:rsid w:val="008D1694"/>
    <w:pPr>
      <w:numPr>
        <w:ilvl w:val="2"/>
        <w:numId w:val="4"/>
      </w:numPr>
      <w:spacing w:before="120" w:after="120"/>
    </w:pPr>
    <w:rPr>
      <w:rFonts w:cs="Arial"/>
    </w:rPr>
  </w:style>
  <w:style w:type="paragraph" w:customStyle="1" w:styleId="AnnexHeading4">
    <w:name w:val="Annex Heading 4"/>
    <w:basedOn w:val="Normal"/>
    <w:next w:val="BodyText"/>
    <w:qFormat/>
    <w:rsid w:val="008D1694"/>
    <w:pPr>
      <w:numPr>
        <w:ilvl w:val="3"/>
        <w:numId w:val="4"/>
      </w:numPr>
      <w:spacing w:before="120" w:after="120"/>
    </w:pPr>
    <w:rPr>
      <w:rFonts w:cs="Arial"/>
    </w:rPr>
  </w:style>
  <w:style w:type="paragraph" w:customStyle="1" w:styleId="AnnexTable">
    <w:name w:val="Annex Table"/>
    <w:basedOn w:val="Normal"/>
    <w:next w:val="Normal"/>
    <w:qFormat/>
    <w:rsid w:val="008D1694"/>
    <w:pPr>
      <w:numPr>
        <w:numId w:val="5"/>
      </w:numPr>
      <w:tabs>
        <w:tab w:val="left" w:pos="1418"/>
      </w:tabs>
      <w:spacing w:before="120" w:after="120"/>
      <w:jc w:val="center"/>
    </w:pPr>
    <w:rPr>
      <w:i/>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rsid w:val="008D1694"/>
    <w:pPr>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qFormat/>
    <w:rsid w:val="008D1694"/>
    <w:pPr>
      <w:spacing w:after="120"/>
      <w:ind w:left="1701"/>
      <w:jc w:val="both"/>
    </w:pPr>
    <w:rPr>
      <w:rFonts w:cs="Arial"/>
    </w:rPr>
  </w:style>
  <w:style w:type="paragraph" w:customStyle="1" w:styleId="Bullet3">
    <w:name w:val="Bullet 3"/>
    <w:basedOn w:val="Normal"/>
    <w:qFormat/>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qFormat/>
    <w:rsid w:val="008D1694"/>
    <w:pPr>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customStyle="1" w:styleId="HeaderandFooter">
    <w:name w:val="Header and Footer"/>
    <w:basedOn w:val="Normal"/>
    <w:qFormat/>
  </w:style>
  <w:style w:type="paragraph" w:styleId="Footer">
    <w:name w:val="footer"/>
    <w:basedOn w:val="Normal"/>
    <w:link w:val="FooterChar"/>
    <w:rsid w:val="008D1694"/>
    <w:pPr>
      <w:tabs>
        <w:tab w:val="center" w:pos="4820"/>
        <w:tab w:val="right" w:pos="9639"/>
      </w:tabs>
    </w:pPr>
  </w:style>
  <w:style w:type="paragraph" w:styleId="Header">
    <w:name w:val="header"/>
    <w:basedOn w:val="Normal"/>
    <w:link w:val="HeaderChar"/>
    <w:rsid w:val="008D1694"/>
    <w:pPr>
      <w:tabs>
        <w:tab w:val="center" w:pos="4820"/>
        <w:tab w:val="right" w:pos="9639"/>
      </w:tabs>
    </w:p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qFormat/>
    <w:rsid w:val="00765622"/>
    <w:pPr>
      <w:widowControl w:val="0"/>
      <w:numPr>
        <w:ilvl w:val="2"/>
        <w:numId w:val="12"/>
      </w:numPr>
      <w:spacing w:after="120"/>
      <w:jc w:val="both"/>
    </w:pPr>
    <w:rPr>
      <w:rFonts w:cs="Arial"/>
      <w:sz w:val="20"/>
      <w:szCs w:val="20"/>
    </w:rPr>
  </w:style>
  <w:style w:type="paragraph" w:customStyle="1" w:styleId="List1indent2text">
    <w:name w:val="List 1 indent 2 text"/>
    <w:basedOn w:val="Normal"/>
    <w:qFormat/>
    <w:rsid w:val="008D1694"/>
    <w:pPr>
      <w:spacing w:after="60"/>
      <w:ind w:left="1701"/>
      <w:jc w:val="both"/>
    </w:pPr>
    <w:rPr>
      <w:rFonts w:cs="Arial"/>
      <w:sz w:val="20"/>
    </w:rPr>
  </w:style>
  <w:style w:type="paragraph" w:customStyle="1" w:styleId="List1indenttext">
    <w:name w:val="List 1 indent text"/>
    <w:basedOn w:val="Normal"/>
    <w:qFormat/>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paragraph" w:styleId="BodyTextIndent">
    <w:name w:val="Body Text Indent"/>
    <w:basedOn w:val="Normal"/>
    <w:link w:val="BodyTextIndentChar"/>
    <w:rsid w:val="008D1694"/>
    <w:pPr>
      <w:spacing w:after="120"/>
      <w:ind w:left="567"/>
    </w:pPr>
  </w:style>
  <w:style w:type="paragraph" w:styleId="BodyTextIndent2">
    <w:name w:val="Body Text Indent 2"/>
    <w:basedOn w:val="Normal"/>
    <w:link w:val="BodyTextIndent2Char"/>
    <w:qFormat/>
    <w:rsid w:val="008D1694"/>
    <w:pPr>
      <w:spacing w:after="120"/>
      <w:ind w:left="1134"/>
      <w:jc w:val="both"/>
    </w:pPr>
    <w:rPr>
      <w:lang w:eastAsia="de-DE"/>
    </w:rPr>
  </w:style>
  <w:style w:type="paragraph" w:styleId="FootnoteText">
    <w:name w:val="footnote text"/>
    <w:basedOn w:val="Normal"/>
    <w:link w:val="FootnoteTextChar"/>
    <w:semiHidden/>
    <w:rsid w:val="00243228"/>
    <w:rPr>
      <w:sz w:val="20"/>
      <w:szCs w:val="20"/>
    </w:rPr>
  </w:style>
  <w:style w:type="paragraph" w:styleId="Subtitle">
    <w:name w:val="Subtitle"/>
    <w:basedOn w:val="Normal"/>
    <w:link w:val="SubtitleChar"/>
    <w:qFormat/>
    <w:rsid w:val="008D1694"/>
    <w:pPr>
      <w:spacing w:after="60"/>
      <w:jc w:val="center"/>
      <w:outlineLvl w:val="1"/>
    </w:pPr>
    <w:rPr>
      <w:rFonts w:cs="Arial"/>
    </w:rPr>
  </w:style>
  <w:style w:type="paragraph" w:styleId="Title">
    <w:name w:val="Title"/>
    <w:basedOn w:val="Normal"/>
    <w:link w:val="TitleChar"/>
    <w:qFormat/>
    <w:rsid w:val="00943E9C"/>
    <w:pPr>
      <w:spacing w:before="120" w:after="240"/>
      <w:jc w:val="center"/>
      <w:outlineLvl w:val="0"/>
    </w:pPr>
    <w:rPr>
      <w:rFonts w:cs="Arial"/>
      <w:b/>
      <w:bCs/>
      <w:kern w:val="2"/>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qFormat/>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qFormat/>
    <w:rsid w:val="008D1694"/>
    <w:pPr>
      <w:numPr>
        <w:numId w:val="6"/>
      </w:numPr>
      <w:spacing w:before="120" w:after="120"/>
    </w:pPr>
    <w:rPr>
      <w:rFonts w:cs="Arial"/>
      <w:b/>
      <w:caps/>
      <w:sz w:val="24"/>
    </w:rPr>
  </w:style>
  <w:style w:type="paragraph" w:customStyle="1" w:styleId="AppendixHeading2">
    <w:name w:val="Appendix Heading 2"/>
    <w:basedOn w:val="Normal"/>
    <w:next w:val="BodyText"/>
    <w:qFormat/>
    <w:rsid w:val="008D1694"/>
    <w:pPr>
      <w:numPr>
        <w:ilvl w:val="1"/>
        <w:numId w:val="6"/>
      </w:numPr>
      <w:spacing w:before="120" w:after="120"/>
    </w:pPr>
    <w:rPr>
      <w:rFonts w:cs="Arial"/>
      <w:b/>
    </w:rPr>
  </w:style>
  <w:style w:type="paragraph" w:customStyle="1" w:styleId="AppendixHeading3">
    <w:name w:val="Appendix Heading 3"/>
    <w:basedOn w:val="Normal"/>
    <w:next w:val="Normal"/>
    <w:qFormat/>
    <w:rsid w:val="008D1694"/>
    <w:pPr>
      <w:numPr>
        <w:ilvl w:val="2"/>
        <w:numId w:val="6"/>
      </w:numPr>
      <w:spacing w:before="120" w:after="120"/>
    </w:pPr>
    <w:rPr>
      <w:rFonts w:cs="Arial"/>
    </w:rPr>
  </w:style>
  <w:style w:type="paragraph" w:customStyle="1" w:styleId="AppendixHeading4">
    <w:name w:val="Appendix Heading 4"/>
    <w:basedOn w:val="Normal"/>
    <w:next w:val="BodyText"/>
    <w:qFormat/>
    <w:rsid w:val="008D1694"/>
    <w:pPr>
      <w:numPr>
        <w:ilvl w:val="3"/>
        <w:numId w:val="6"/>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rsid w:val="002E6FCA"/>
    <w:pPr>
      <w:numPr>
        <w:numId w:val="15"/>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qFormat/>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paragraph" w:styleId="CommentText">
    <w:name w:val="annotation text"/>
    <w:basedOn w:val="Normal"/>
    <w:link w:val="CommentTextChar"/>
    <w:uiPriority w:val="99"/>
    <w:unhideWhenUsed/>
    <w:rsid w:val="00EA5A97"/>
    <w:rPr>
      <w:sz w:val="20"/>
      <w:szCs w:val="20"/>
    </w:rPr>
  </w:style>
  <w:style w:type="paragraph" w:styleId="CommentSubject">
    <w:name w:val="annotation subject"/>
    <w:basedOn w:val="CommentText"/>
    <w:next w:val="CommentText"/>
    <w:link w:val="CommentSubjectChar"/>
    <w:uiPriority w:val="99"/>
    <w:semiHidden/>
    <w:unhideWhenUsed/>
    <w:qFormat/>
    <w:rsid w:val="00EA5A97"/>
    <w:rPr>
      <w:b/>
      <w:bCs/>
    </w:rPr>
  </w:style>
  <w:style w:type="paragraph" w:customStyle="1" w:styleId="Documenttype">
    <w:name w:val="Document type"/>
    <w:basedOn w:val="Normal"/>
    <w:qFormat/>
    <w:rsid w:val="00A278ED"/>
    <w:pPr>
      <w:spacing w:line="500" w:lineRule="exact"/>
      <w:ind w:left="907" w:right="907"/>
    </w:pPr>
    <w:rPr>
      <w:rFonts w:asciiTheme="minorHAnsi" w:eastAsiaTheme="minorHAnsi" w:hAnsiTheme="minorHAnsi" w:cstheme="minorBidi"/>
      <w:b/>
      <w:caps/>
      <w:color w:val="FFFFFF" w:themeColor="background1"/>
      <w:sz w:val="50"/>
      <w:szCs w:val="50"/>
      <w:lang w:eastAsia="en-US"/>
    </w:rPr>
  </w:style>
  <w:style w:type="paragraph" w:customStyle="1" w:styleId="Heading1separationline">
    <w:name w:val="Heading 1 separation line"/>
    <w:basedOn w:val="Normal"/>
    <w:next w:val="BodyText"/>
    <w:qFormat/>
    <w:rsid w:val="00A278ED"/>
    <w:pPr>
      <w:pBdr>
        <w:bottom w:val="single" w:sz="8" w:space="1" w:color="4F81BD" w:themeColor="accent1"/>
      </w:pBdr>
      <w:spacing w:after="120" w:line="90" w:lineRule="exact"/>
      <w:ind w:right="8789"/>
    </w:pPr>
    <w:rPr>
      <w:rFonts w:asciiTheme="minorHAnsi" w:eastAsiaTheme="minorHAnsi" w:hAnsiTheme="minorHAnsi" w:cstheme="minorBidi"/>
      <w:color w:val="000000" w:themeColor="text1"/>
      <w:lang w:eastAsia="en-US"/>
    </w:rPr>
  </w:style>
  <w:style w:type="paragraph" w:customStyle="1" w:styleId="Heading2separationline">
    <w:name w:val="Heading 2 separation line"/>
    <w:basedOn w:val="Normal"/>
    <w:next w:val="BodyText"/>
    <w:qFormat/>
    <w:rsid w:val="00A278ED"/>
    <w:pPr>
      <w:pBdr>
        <w:bottom w:val="single" w:sz="4" w:space="1" w:color="575756"/>
      </w:pBdr>
      <w:spacing w:after="60" w:line="110" w:lineRule="exact"/>
      <w:ind w:right="8787"/>
    </w:pPr>
    <w:rPr>
      <w:rFonts w:asciiTheme="minorHAnsi" w:eastAsiaTheme="minorHAnsi" w:hAnsiTheme="minorHAnsi" w:cstheme="minorBidi"/>
      <w:color w:val="000000" w:themeColor="text1"/>
      <w:lang w:eastAsia="en-US"/>
    </w:rPr>
  </w:style>
  <w:style w:type="paragraph" w:customStyle="1" w:styleId="Editionnumber">
    <w:name w:val="Edition number"/>
    <w:basedOn w:val="Normal"/>
    <w:qFormat/>
    <w:rsid w:val="00A278ED"/>
    <w:pPr>
      <w:spacing w:line="216" w:lineRule="atLeast"/>
    </w:pPr>
    <w:rPr>
      <w:rFonts w:asciiTheme="minorHAnsi" w:eastAsiaTheme="minorHAnsi" w:hAnsiTheme="minorHAnsi" w:cstheme="minorBidi"/>
      <w:b/>
      <w:color w:val="4F81BD" w:themeColor="accent1"/>
      <w:sz w:val="50"/>
      <w:szCs w:val="50"/>
      <w:lang w:eastAsia="en-US"/>
    </w:rPr>
  </w:style>
  <w:style w:type="paragraph" w:customStyle="1" w:styleId="Contents">
    <w:name w:val="Contents"/>
    <w:basedOn w:val="Header"/>
    <w:qFormat/>
    <w:rsid w:val="00A278ED"/>
    <w:pPr>
      <w:pBdr>
        <w:bottom w:val="single" w:sz="8" w:space="12" w:color="4F81BD" w:themeColor="accent1"/>
      </w:pBdr>
      <w:tabs>
        <w:tab w:val="clear" w:pos="4820"/>
        <w:tab w:val="clear" w:pos="9639"/>
      </w:tabs>
      <w:spacing w:before="100" w:line="560" w:lineRule="exact"/>
    </w:pPr>
    <w:rPr>
      <w:rFonts w:asciiTheme="minorHAnsi" w:eastAsiaTheme="minorHAnsi" w:hAnsiTheme="minorHAnsi" w:cstheme="minorBidi"/>
      <w:b/>
      <w:caps/>
      <w:color w:val="C0504D" w:themeColor="accent2"/>
      <w:sz w:val="56"/>
      <w:szCs w:val="56"/>
      <w:lang w:eastAsia="en-US"/>
    </w:rPr>
  </w:style>
  <w:style w:type="paragraph" w:customStyle="1" w:styleId="Tabletext">
    <w:name w:val="Table text"/>
    <w:basedOn w:val="Normal"/>
    <w:qFormat/>
    <w:rsid w:val="00A278ED"/>
    <w:pPr>
      <w:spacing w:before="60" w:after="60" w:line="216" w:lineRule="atLeast"/>
      <w:ind w:left="113" w:right="113"/>
    </w:pPr>
    <w:rPr>
      <w:rFonts w:asciiTheme="minorHAnsi" w:eastAsiaTheme="minorHAnsi" w:hAnsiTheme="minorHAnsi" w:cstheme="minorBidi"/>
      <w:color w:val="000000" w:themeColor="text1"/>
      <w:sz w:val="20"/>
      <w:lang w:eastAsia="en-US"/>
    </w:rPr>
  </w:style>
  <w:style w:type="paragraph" w:customStyle="1" w:styleId="AppendixHead2">
    <w:name w:val="Appendix Head 2"/>
    <w:basedOn w:val="Appendix"/>
    <w:next w:val="Heading2separationline"/>
    <w:qFormat/>
    <w:rsid w:val="00A278ED"/>
    <w:pPr>
      <w:numPr>
        <w:numId w:val="0"/>
      </w:numPr>
      <w:spacing w:after="120"/>
      <w:ind w:left="1247" w:hanging="1247"/>
    </w:pPr>
    <w:rPr>
      <w:rFonts w:asciiTheme="majorHAnsi" w:hAnsiTheme="majorHAnsi" w:cs="Arial"/>
      <w:bCs/>
      <w:caps/>
      <w:color w:val="00558C"/>
      <w:lang w:eastAsia="en-GB"/>
    </w:rPr>
  </w:style>
  <w:style w:type="paragraph" w:customStyle="1" w:styleId="AppendixHead3">
    <w:name w:val="Appendix Head 3"/>
    <w:basedOn w:val="Normal"/>
    <w:next w:val="BodyText"/>
    <w:qFormat/>
    <w:rsid w:val="00A278ED"/>
    <w:pPr>
      <w:spacing w:before="120" w:after="120"/>
      <w:ind w:left="1588" w:hanging="1588"/>
    </w:pPr>
    <w:rPr>
      <w:rFonts w:asciiTheme="minorHAnsi" w:hAnsiTheme="minorHAnsi" w:cs="Arial"/>
      <w:b/>
      <w:smallCaps/>
      <w:color w:val="00558C"/>
      <w:sz w:val="24"/>
    </w:rPr>
  </w:style>
  <w:style w:type="paragraph" w:customStyle="1" w:styleId="AppendixHead4">
    <w:name w:val="Appendix Head 4"/>
    <w:basedOn w:val="AppendixHead3"/>
    <w:next w:val="BodyText"/>
    <w:qFormat/>
    <w:rsid w:val="00A278ED"/>
    <w:pPr>
      <w:ind w:left="1758" w:hanging="1758"/>
    </w:pPr>
    <w:rPr>
      <w:smallCaps w:val="0"/>
      <w:sz w:val="22"/>
    </w:rPr>
  </w:style>
  <w:style w:type="paragraph" w:customStyle="1" w:styleId="AnnexHead2">
    <w:name w:val="Annex Head 2"/>
    <w:basedOn w:val="Annex"/>
    <w:next w:val="Heading1separationline"/>
    <w:qFormat/>
    <w:rsid w:val="00A278ED"/>
    <w:pPr>
      <w:keepNext w:val="0"/>
      <w:numPr>
        <w:numId w:val="0"/>
      </w:numPr>
      <w:tabs>
        <w:tab w:val="clear" w:pos="1701"/>
      </w:tabs>
      <w:spacing w:before="120" w:after="120"/>
      <w:ind w:left="851" w:hanging="851"/>
      <w:jc w:val="left"/>
      <w:outlineLvl w:val="9"/>
    </w:pPr>
    <w:rPr>
      <w:rFonts w:asciiTheme="minorHAnsi" w:hAnsiTheme="minorHAnsi"/>
      <w:bCs/>
      <w:color w:val="00558C"/>
    </w:rPr>
  </w:style>
  <w:style w:type="paragraph" w:customStyle="1" w:styleId="AnnexHead3">
    <w:name w:val="Annex Head 3"/>
    <w:basedOn w:val="AnnexHead2"/>
    <w:next w:val="Heading2separationline"/>
    <w:qFormat/>
    <w:rsid w:val="00A278ED"/>
    <w:pPr>
      <w:ind w:left="1021" w:hanging="1021"/>
    </w:pPr>
    <w:rPr>
      <w:smallCaps/>
    </w:rPr>
  </w:style>
  <w:style w:type="paragraph" w:customStyle="1" w:styleId="AnnexHead4">
    <w:name w:val="Annex Head 4"/>
    <w:basedOn w:val="AnnexHead3"/>
    <w:next w:val="BodyText"/>
    <w:qFormat/>
    <w:rsid w:val="00A278ED"/>
    <w:pPr>
      <w:ind w:left="1134" w:hanging="1134"/>
    </w:pPr>
    <w:rPr>
      <w:caps w:val="0"/>
      <w:smallCaps w:val="0"/>
      <w:sz w:val="22"/>
    </w:rPr>
  </w:style>
  <w:style w:type="paragraph" w:customStyle="1" w:styleId="AnnexHead5">
    <w:name w:val="Annex Head 5"/>
    <w:basedOn w:val="Normal"/>
    <w:next w:val="BodyText"/>
    <w:qFormat/>
    <w:rsid w:val="00A278ED"/>
    <w:pPr>
      <w:spacing w:before="120" w:after="120"/>
      <w:ind w:left="1701" w:hanging="1701"/>
    </w:pPr>
    <w:rPr>
      <w:rFonts w:asciiTheme="minorHAnsi" w:hAnsiTheme="minorHAnsi"/>
      <w:color w:val="00558C"/>
    </w:rPr>
  </w:style>
  <w:style w:type="paragraph" w:customStyle="1" w:styleId="ListofFigures">
    <w:name w:val="List of Figures"/>
    <w:basedOn w:val="Normal"/>
    <w:next w:val="Normal"/>
    <w:qFormat/>
    <w:rsid w:val="00A278ED"/>
    <w:pPr>
      <w:spacing w:after="240" w:line="480" w:lineRule="atLeast"/>
    </w:pPr>
    <w:rPr>
      <w:rFonts w:asciiTheme="minorHAnsi" w:eastAsiaTheme="minorHAnsi" w:hAnsiTheme="minorHAnsi" w:cstheme="minorBidi"/>
      <w:b/>
      <w:color w:val="C0504D" w:themeColor="accent2"/>
      <w:sz w:val="40"/>
      <w:szCs w:val="40"/>
      <w:lang w:eastAsia="en-US"/>
    </w:rPr>
  </w:style>
  <w:style w:type="paragraph" w:customStyle="1" w:styleId="Tableinsetlist">
    <w:name w:val="Table inset list"/>
    <w:basedOn w:val="Normal"/>
    <w:qFormat/>
    <w:rsid w:val="00A278ED"/>
    <w:pPr>
      <w:numPr>
        <w:numId w:val="16"/>
      </w:numPr>
      <w:spacing w:before="120" w:after="120" w:line="216" w:lineRule="atLeast"/>
      <w:contextualSpacing/>
      <w:jc w:val="both"/>
    </w:pPr>
    <w:rPr>
      <w:rFonts w:asciiTheme="minorHAnsi" w:eastAsiaTheme="minorHAnsi" w:hAnsiTheme="minorHAnsi" w:cstheme="minorBidi"/>
      <w:sz w:val="20"/>
      <w:lang w:eastAsia="en-US"/>
    </w:rPr>
  </w:style>
  <w:style w:type="paragraph" w:customStyle="1" w:styleId="AnnexTablecaption">
    <w:name w:val="Annex Table caption"/>
    <w:basedOn w:val="BodyText"/>
    <w:qFormat/>
    <w:rsid w:val="00A278ED"/>
    <w:pPr>
      <w:numPr>
        <w:numId w:val="20"/>
      </w:numPr>
      <w:spacing w:line="216" w:lineRule="atLeast"/>
      <w:jc w:val="center"/>
    </w:pPr>
    <w:rPr>
      <w:rFonts w:asciiTheme="minorHAnsi" w:eastAsiaTheme="minorHAnsi" w:hAnsiTheme="minorHAnsi" w:cstheme="minorBidi"/>
      <w:i/>
      <w:color w:val="00558C"/>
    </w:rPr>
  </w:style>
  <w:style w:type="paragraph" w:customStyle="1" w:styleId="Abbreviations">
    <w:name w:val="Abbreviations"/>
    <w:basedOn w:val="Normal"/>
    <w:qFormat/>
    <w:rsid w:val="00A278ED"/>
    <w:pPr>
      <w:spacing w:after="60" w:line="216" w:lineRule="atLeast"/>
      <w:ind w:left="1418" w:hanging="1418"/>
    </w:pPr>
    <w:rPr>
      <w:rFonts w:asciiTheme="minorHAnsi" w:eastAsiaTheme="minorHAnsi" w:hAnsiTheme="minorHAnsi" w:cstheme="minorBidi"/>
      <w:lang w:eastAsia="en-US"/>
    </w:rPr>
  </w:style>
  <w:style w:type="paragraph" w:customStyle="1" w:styleId="Documentnumber">
    <w:name w:val="Document number"/>
    <w:basedOn w:val="Normal"/>
    <w:next w:val="Normal"/>
    <w:qFormat/>
    <w:rsid w:val="00A278ED"/>
    <w:pPr>
      <w:spacing w:line="216" w:lineRule="atLeast"/>
    </w:pPr>
    <w:rPr>
      <w:rFonts w:asciiTheme="minorHAnsi" w:eastAsiaTheme="minorHAnsi" w:hAnsiTheme="minorHAnsi" w:cstheme="minorBidi"/>
      <w:caps/>
      <w:color w:val="00558C"/>
      <w:sz w:val="50"/>
      <w:lang w:eastAsia="en-US"/>
    </w:rPr>
  </w:style>
  <w:style w:type="paragraph" w:customStyle="1" w:styleId="Documentdate">
    <w:name w:val="Document date"/>
    <w:basedOn w:val="Normal"/>
    <w:qFormat/>
    <w:rsid w:val="00A278ED"/>
    <w:pPr>
      <w:spacing w:line="216" w:lineRule="atLeast"/>
    </w:pPr>
    <w:rPr>
      <w:rFonts w:asciiTheme="minorHAnsi" w:eastAsiaTheme="minorHAnsi" w:hAnsiTheme="minorHAnsi" w:cstheme="minorBidi"/>
      <w:b/>
      <w:color w:val="00558C"/>
      <w:sz w:val="28"/>
      <w:lang w:eastAsia="en-US"/>
    </w:rPr>
  </w:style>
  <w:style w:type="paragraph" w:customStyle="1" w:styleId="Footerportrait">
    <w:name w:val="Footer portrait"/>
    <w:basedOn w:val="Normal"/>
    <w:qFormat/>
    <w:rsid w:val="00A278ED"/>
    <w:pPr>
      <w:pBdr>
        <w:top w:val="single" w:sz="4" w:space="1" w:color="000000"/>
      </w:pBdr>
      <w:tabs>
        <w:tab w:val="right" w:pos="10206"/>
      </w:tabs>
      <w:spacing w:line="216" w:lineRule="atLeast"/>
    </w:pPr>
    <w:rPr>
      <w:rFonts w:asciiTheme="minorHAnsi" w:eastAsiaTheme="minorHAnsi" w:hAnsiTheme="minorHAnsi" w:cstheme="minorBidi"/>
      <w:b/>
      <w:color w:val="00558C"/>
      <w:sz w:val="15"/>
      <w:lang w:val="en-US" w:eastAsia="en-US"/>
    </w:rPr>
  </w:style>
  <w:style w:type="paragraph" w:customStyle="1" w:styleId="Documentname">
    <w:name w:val="Document name"/>
    <w:basedOn w:val="Documenttype"/>
    <w:qFormat/>
    <w:rsid w:val="00A278ED"/>
    <w:pPr>
      <w:ind w:left="0" w:right="0"/>
    </w:pPr>
    <w:rPr>
      <w:b w:val="0"/>
      <w:color w:val="00558C"/>
    </w:rPr>
  </w:style>
  <w:style w:type="paragraph" w:customStyle="1" w:styleId="MRN">
    <w:name w:val="MRN"/>
    <w:basedOn w:val="Normal"/>
    <w:link w:val="MRNChar"/>
    <w:qFormat/>
    <w:rsid w:val="00A278ED"/>
    <w:pPr>
      <w:spacing w:line="216" w:lineRule="atLeast"/>
    </w:pPr>
    <w:rPr>
      <w:rFonts w:asciiTheme="minorHAnsi" w:eastAsiaTheme="minorHAnsi" w:hAnsiTheme="minorHAnsi" w:cstheme="minorBidi"/>
      <w:b/>
      <w:color w:val="00558C"/>
      <w:sz w:val="28"/>
      <w:lang w:eastAsia="en-US"/>
    </w:rPr>
  </w:style>
  <w:style w:type="paragraph" w:customStyle="1" w:styleId="Reference">
    <w:name w:val="Reference"/>
    <w:basedOn w:val="Normal"/>
    <w:qFormat/>
    <w:rsid w:val="00A278ED"/>
    <w:pPr>
      <w:tabs>
        <w:tab w:val="left" w:pos="0"/>
      </w:tabs>
      <w:spacing w:before="120" w:after="60"/>
      <w:ind w:left="567" w:hanging="567"/>
      <w:jc w:val="both"/>
    </w:pPr>
    <w:rPr>
      <w:rFonts w:asciiTheme="minorHAnsi" w:eastAsia="Times New Roman" w:hAnsiTheme="minorHAnsi" w:cs="Times New Roman"/>
      <w:szCs w:val="20"/>
      <w:lang w:eastAsia="en-US"/>
    </w:rPr>
  </w:style>
  <w:style w:type="paragraph" w:customStyle="1" w:styleId="Equation1">
    <w:name w:val="Equation1"/>
    <w:basedOn w:val="BodyText"/>
    <w:next w:val="BodyText"/>
    <w:link w:val="EquationChar"/>
    <w:qFormat/>
    <w:rsid w:val="00A278ED"/>
    <w:pPr>
      <w:numPr>
        <w:numId w:val="17"/>
      </w:numPr>
      <w:spacing w:before="60" w:line="216" w:lineRule="atLeast"/>
      <w:jc w:val="right"/>
    </w:pPr>
    <w:rPr>
      <w:rFonts w:asciiTheme="minorHAnsi" w:eastAsiaTheme="minorHAnsi" w:hAnsiTheme="minorHAnsi" w:cstheme="minorBidi"/>
      <w:lang w:eastAsia="en-US"/>
    </w:rPr>
  </w:style>
  <w:style w:type="paragraph" w:customStyle="1" w:styleId="Furtherreading">
    <w:name w:val="Further reading"/>
    <w:basedOn w:val="BodyText"/>
    <w:link w:val="FurtherreadingChar"/>
    <w:qFormat/>
    <w:rsid w:val="00A278ED"/>
    <w:pPr>
      <w:numPr>
        <w:numId w:val="18"/>
      </w:numPr>
      <w:spacing w:before="60" w:line="216" w:lineRule="atLeast"/>
    </w:pPr>
    <w:rPr>
      <w:rFonts w:asciiTheme="minorHAnsi" w:eastAsiaTheme="minorHAnsi" w:hAnsiTheme="minorHAnsi" w:cstheme="minorBidi"/>
      <w:lang w:eastAsia="en-US"/>
    </w:rPr>
  </w:style>
  <w:style w:type="paragraph" w:customStyle="1" w:styleId="Documentrevisiontabletitle">
    <w:name w:val="Document revision table title"/>
    <w:basedOn w:val="Normal"/>
    <w:qFormat/>
    <w:rsid w:val="00A278ED"/>
    <w:pPr>
      <w:spacing w:before="60" w:after="60" w:line="216" w:lineRule="atLeast"/>
      <w:ind w:left="113" w:right="113"/>
    </w:pPr>
    <w:rPr>
      <w:rFonts w:asciiTheme="minorHAnsi" w:eastAsiaTheme="minorHAnsi" w:hAnsiTheme="minorHAnsi" w:cstheme="minorBidi"/>
      <w:b/>
      <w:color w:val="00558C"/>
      <w:sz w:val="20"/>
      <w:lang w:eastAsia="en-US"/>
    </w:rPr>
  </w:style>
  <w:style w:type="paragraph" w:customStyle="1" w:styleId="AnnexFigureCaption">
    <w:name w:val="Annex Figure Caption"/>
    <w:basedOn w:val="BodyText"/>
    <w:link w:val="AnnexFigureCaptionChar"/>
    <w:qFormat/>
    <w:rsid w:val="00A278ED"/>
    <w:pPr>
      <w:numPr>
        <w:numId w:val="19"/>
      </w:numPr>
      <w:spacing w:line="216" w:lineRule="atLeast"/>
      <w:jc w:val="center"/>
    </w:pPr>
    <w:rPr>
      <w:rFonts w:asciiTheme="minorHAnsi" w:eastAsiaTheme="minorHAnsi" w:hAnsiTheme="minorHAnsi" w:cstheme="minorBidi"/>
      <w:i/>
      <w:color w:val="00558C"/>
    </w:rPr>
  </w:style>
  <w:style w:type="paragraph" w:customStyle="1" w:styleId="AppendixHead1">
    <w:name w:val="Appendix Head 1"/>
    <w:basedOn w:val="Normal"/>
    <w:next w:val="Heading1separationline"/>
    <w:qFormat/>
    <w:rsid w:val="00A278ED"/>
    <w:pPr>
      <w:spacing w:before="120" w:after="120"/>
      <w:ind w:left="907" w:hanging="907"/>
    </w:pPr>
    <w:rPr>
      <w:rFonts w:asciiTheme="minorHAnsi" w:hAnsiTheme="minorHAnsi" w:cs="Arial"/>
      <w:b/>
      <w:caps/>
      <w:color w:val="00558C"/>
      <w:sz w:val="28"/>
    </w:rPr>
  </w:style>
  <w:style w:type="paragraph" w:styleId="NormalWeb">
    <w:name w:val="Normal (Web)"/>
    <w:basedOn w:val="Normal"/>
    <w:uiPriority w:val="99"/>
    <w:semiHidden/>
    <w:unhideWhenUsed/>
    <w:qFormat/>
    <w:rsid w:val="00047B5D"/>
    <w:pPr>
      <w:spacing w:beforeAutospacing="1" w:afterAutospacing="1"/>
    </w:pPr>
    <w:rPr>
      <w:rFonts w:ascii="Times New Roman" w:eastAsia="Times New Roman" w:hAnsi="Times New Roman" w:cs="Times New Roman"/>
      <w:sz w:val="24"/>
      <w:szCs w:val="24"/>
      <w:lang w:val="en-SG" w:eastAsia="en-SG"/>
    </w:rPr>
  </w:style>
  <w:style w:type="numbering" w:styleId="ArticleSection">
    <w:name w:val="Outline List 3"/>
    <w:qFormat/>
    <w:rsid w:val="008D1694"/>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int/technical/mcp-test-instanc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portal.iho.int/page/meetings/858"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06022411-6e02-423b-85fd-39e0748b9219">
      <UserInfo>
        <DisplayName/>
        <AccountId xsi:nil="true"/>
        <AccountType/>
      </UserInfo>
    </SharedWithUsers>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06022411-6e02-423b-85fd-39e0748b9219"/>
    <ds:schemaRef ds:uri="ac5f8115-f13f-4d01-aff4-515a67108c33"/>
  </ds:schemaRefs>
</ds:datastoreItem>
</file>

<file path=customXml/itemProps3.xml><?xml version="1.0" encoding="utf-8"?>
<ds:datastoreItem xmlns:ds="http://schemas.openxmlformats.org/officeDocument/2006/customXml" ds:itemID="{A63D011D-532A-46BB-BC55-98578C9BD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1686</Words>
  <Characters>9632</Characters>
  <Application>Microsoft Office Word</Application>
  <DocSecurity>0</DocSecurity>
  <Lines>168</Lines>
  <Paragraphs>95</Paragraphs>
  <ScaleCrop>false</ScaleCrop>
  <HeadingPairs>
    <vt:vector size="2" baseType="variant">
      <vt:variant>
        <vt:lpstr>Titel</vt:lpstr>
      </vt:variant>
      <vt:variant>
        <vt:i4>1</vt:i4>
      </vt:variant>
    </vt:vector>
  </HeadingPairs>
  <TitlesOfParts>
    <vt:vector size="1" baseType="lpstr">
      <vt:lpstr/>
    </vt:vector>
  </TitlesOfParts>
  <Company>DLR e.V.</Company>
  <LinksUpToDate>false</LinksUpToDate>
  <CharactersWithSpaces>11223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dc:description/>
  <cp:lastModifiedBy>Alisa Nechyporuk</cp:lastModifiedBy>
  <cp:revision>5</cp:revision>
  <dcterms:created xsi:type="dcterms:W3CDTF">2025-10-02T10:42:00Z</dcterms:created>
  <dcterms:modified xsi:type="dcterms:W3CDTF">2025-10-10T20:28:00Z</dcterms:modified>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0x010100FB4C6AB7F4ADAA4ABC48D93214FE8FD2</vt:lpwstr>
  </property>
  <property fmtid="{D5CDD505-2E9C-101B-9397-08002B2CF9AE}" pid="4" name="MSIP_Label_54803508-8490-4252-b331-d9b72689e942_ActionId">
    <vt:lpwstr>d182ec70-399f-4258-9e26-e0c2b788ce46</vt:lpwstr>
  </property>
  <property fmtid="{D5CDD505-2E9C-101B-9397-08002B2CF9AE}" pid="5" name="MSIP_Label_54803508-8490-4252-b331-d9b72689e942_ContentBits">
    <vt:lpwstr>0</vt:lpwstr>
  </property>
  <property fmtid="{D5CDD505-2E9C-101B-9397-08002B2CF9AE}" pid="6" name="MSIP_Label_54803508-8490-4252-b331-d9b72689e942_Enabled">
    <vt:lpwstr>true</vt:lpwstr>
  </property>
  <property fmtid="{D5CDD505-2E9C-101B-9397-08002B2CF9AE}" pid="7" name="MSIP_Label_54803508-8490-4252-b331-d9b72689e942_Method">
    <vt:lpwstr>Privileged</vt:lpwstr>
  </property>
  <property fmtid="{D5CDD505-2E9C-101B-9397-08002B2CF9AE}" pid="8" name="MSIP_Label_54803508-8490-4252-b331-d9b72689e942_Name">
    <vt:lpwstr>Non Sensitive_0</vt:lpwstr>
  </property>
  <property fmtid="{D5CDD505-2E9C-101B-9397-08002B2CF9AE}" pid="9" name="MSIP_Label_54803508-8490-4252-b331-d9b72689e942_SetDate">
    <vt:lpwstr>2025-03-05T07:01:47Z</vt:lpwstr>
  </property>
  <property fmtid="{D5CDD505-2E9C-101B-9397-08002B2CF9AE}" pid="10" name="MSIP_Label_54803508-8490-4252-b331-d9b72689e942_SiteId">
    <vt:lpwstr>0b11c524-9a1c-4e1b-84cb-6336aefc2243</vt:lpwstr>
  </property>
  <property fmtid="{D5CDD505-2E9C-101B-9397-08002B2CF9AE}" pid="11" name="MediaServiceImageTags">
    <vt:lpwstr/>
  </property>
  <property fmtid="{D5CDD505-2E9C-101B-9397-08002B2CF9AE}" pid="12" name="Order">
    <vt:r8>14559800</vt:r8>
  </property>
  <property fmtid="{D5CDD505-2E9C-101B-9397-08002B2CF9AE}" pid="13" name="TemplateUrl">
    <vt:lpwstr/>
  </property>
  <property fmtid="{D5CDD505-2E9C-101B-9397-08002B2CF9AE}" pid="14" name="TriggerFlowInfo">
    <vt:lpwstr/>
  </property>
  <property fmtid="{D5CDD505-2E9C-101B-9397-08002B2CF9AE}" pid="15" name="_ExtendedDescription">
    <vt:lpwstr/>
  </property>
  <property fmtid="{D5CDD505-2E9C-101B-9397-08002B2CF9AE}" pid="16" name="xd_ProgID">
    <vt:lpwstr/>
  </property>
  <property fmtid="{D5CDD505-2E9C-101B-9397-08002B2CF9AE}" pid="17" name="xd_Signature">
    <vt:bool>false</vt:bool>
  </property>
  <property fmtid="{D5CDD505-2E9C-101B-9397-08002B2CF9AE}" pid="18" name="GrammarlyDocumentId">
    <vt:lpwstr>7aa1606d-f34d-4d7d-b60f-fbe055f616ea</vt:lpwstr>
  </property>
</Properties>
</file>